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4524" w14:textId="77777777" w:rsidR="00984252" w:rsidRDefault="00934B6F" w:rsidP="00984252">
      <w:pPr>
        <w:pStyle w:val="Heading1"/>
        <w:rPr>
          <w:rFonts w:eastAsia="Times New Roman"/>
        </w:rPr>
      </w:pPr>
      <w:r w:rsidRPr="00934B6F">
        <w:rPr>
          <w:rFonts w:eastAsia="Times New Roman"/>
        </w:rPr>
        <w:t xml:space="preserve">Final Report: CellGuard AI </w:t>
      </w:r>
    </w:p>
    <w:p w14:paraId="122EE138" w14:textId="0EA7756B" w:rsidR="00934B6F" w:rsidRPr="00934B6F" w:rsidRDefault="00934B6F" w:rsidP="00984252">
      <w:pPr>
        <w:pStyle w:val="Heading1"/>
        <w:rPr>
          <w:rFonts w:eastAsia="Times New Roman" w:cstheme="minorHAnsi"/>
          <w:sz w:val="24"/>
          <w:szCs w:val="24"/>
          <w14:ligatures w14:val="none"/>
        </w:rPr>
      </w:pPr>
      <w:r w:rsidRPr="00934B6F">
        <w:rPr>
          <w:rFonts w:eastAsia="Times New Roman" w:cstheme="minorHAnsi"/>
          <w:bCs/>
          <w:sz w:val="24"/>
          <w:szCs w:val="24"/>
          <w14:ligatures w14:val="none"/>
        </w:rPr>
        <w:t>Date:</w:t>
      </w:r>
      <w:r w:rsidRPr="00934B6F">
        <w:rPr>
          <w:rFonts w:eastAsia="Times New Roman" w:cstheme="minorHAnsi"/>
          <w:sz w:val="24"/>
          <w:szCs w:val="24"/>
          <w14:ligatures w14:val="none"/>
        </w:rPr>
        <w:t xml:space="preserve"> April 22, 2026</w:t>
      </w:r>
    </w:p>
    <w:p w14:paraId="0980B061" w14:textId="72217161" w:rsidR="008B7A67" w:rsidRDefault="00934B6F" w:rsidP="008B7A67">
      <w:pPr>
        <w:spacing w:before="100" w:beforeAutospacing="1" w:after="100" w:afterAutospacing="1" w:line="240" w:lineRule="auto"/>
        <w:jc w:val="left"/>
        <w:rPr>
          <w:rFonts w:eastAsia="Times New Roman" w:cstheme="minorHAnsi"/>
          <w:sz w:val="24"/>
          <w:szCs w:val="24"/>
          <w14:ligatures w14:val="none"/>
        </w:rPr>
      </w:pPr>
      <w:r w:rsidRPr="00934B6F">
        <w:rPr>
          <w:rFonts w:eastAsia="Times New Roman" w:cstheme="minorHAnsi"/>
          <w:b/>
          <w:bCs/>
          <w:sz w:val="24"/>
          <w:szCs w:val="24"/>
          <w14:ligatures w14:val="none"/>
        </w:rPr>
        <w:t>Project ID:</w:t>
      </w:r>
      <w:r w:rsidRPr="00934B6F">
        <w:rPr>
          <w:rFonts w:eastAsia="Times New Roman" w:cstheme="minorHAnsi"/>
          <w:sz w:val="24"/>
          <w:szCs w:val="24"/>
          <w14:ligatures w14:val="none"/>
        </w:rPr>
        <w:t xml:space="preserve"> CellGuard </w:t>
      </w:r>
    </w:p>
    <w:p w14:paraId="10D8E93D" w14:textId="77777777" w:rsidR="008B7A67" w:rsidRDefault="008B7A67" w:rsidP="008B7A67">
      <w:pPr>
        <w:spacing w:before="100" w:beforeAutospacing="1" w:after="100" w:afterAutospacing="1" w:line="240" w:lineRule="auto"/>
        <w:jc w:val="left"/>
        <w:rPr>
          <w:rFonts w:eastAsia="Times New Roman" w:cstheme="minorHAnsi"/>
          <w:sz w:val="24"/>
          <w:szCs w:val="24"/>
          <w14:ligatures w14:val="none"/>
        </w:rPr>
      </w:pPr>
    </w:p>
    <w:p w14:paraId="09B89ACD" w14:textId="0A175E8D" w:rsidR="008B7A67" w:rsidRPr="008B7A67" w:rsidRDefault="00934B6F" w:rsidP="008B7A67">
      <w:pPr>
        <w:pStyle w:val="Heading1"/>
      </w:pPr>
      <w:r w:rsidRPr="008B7A67">
        <w:rPr>
          <w:rFonts w:eastAsia="Times New Roman"/>
        </w:rPr>
        <w:t>Executive Summary</w:t>
      </w:r>
    </w:p>
    <w:p w14:paraId="4B322A54" w14:textId="20F86AE9" w:rsidR="008B7A67" w:rsidRDefault="005A79ED" w:rsidP="00497376">
      <w:r w:rsidRPr="008B7A67">
        <w:t xml:space="preserve">The field of regenerative medicine is currently limited not by biological potential, but by the logistical constraints of manual laboratory management. CellGuard AI was conceptualized to solve the "Cost of Human Error" in induced Pluripotent Stem Cell (iPSC) research </w:t>
      </w:r>
      <w:r w:rsidR="00497376" w:rsidRPr="00497376">
        <w:t>Idris, Z. (2026)</w:t>
      </w:r>
      <w:r w:rsidRPr="008B7A67">
        <w:t>. In academic and clinical settings, the failure rate of cell batches remains high due to inconsistent visual analysis and a lack of 24/7 oversight. CellGuard AI introduces a specialized "AI Co</w:t>
      </w:r>
      <w:r w:rsidR="0003708B">
        <w:t xml:space="preserve"> </w:t>
      </w:r>
      <w:r w:rsidRPr="008B7A67">
        <w:t xml:space="preserve">Scientist" model that integrates computer vision with </w:t>
      </w:r>
      <w:r w:rsidR="00733775" w:rsidRPr="008B7A67">
        <w:t>cloud</w:t>
      </w:r>
      <w:r w:rsidR="00733775">
        <w:t>-based</w:t>
      </w:r>
      <w:r w:rsidRPr="008B7A67">
        <w:t xml:space="preserve"> alerting to provide autonomous surveillance. By automating the monitoring cycle, the system allows for an 80% reduction in manual labor while ensuring that critical culture failures</w:t>
      </w:r>
      <w:r w:rsidR="0003708B">
        <w:t xml:space="preserve"> </w:t>
      </w:r>
      <w:r w:rsidRPr="008B7A67">
        <w:t xml:space="preserve">such as </w:t>
      </w:r>
      <w:r w:rsidR="00733775" w:rsidRPr="00733775">
        <w:t>oxygen level drops, heaters drying out, or unexpected overnight growth spikes</w:t>
      </w:r>
      <w:r w:rsidR="00733775">
        <w:t xml:space="preserve"> </w:t>
      </w:r>
      <w:r w:rsidR="00733775" w:rsidRPr="008B7A67">
        <w:t>spontaneous differentiation</w:t>
      </w:r>
      <w:r w:rsidR="0003708B">
        <w:t xml:space="preserve"> </w:t>
      </w:r>
      <w:r w:rsidRPr="008B7A67">
        <w:t xml:space="preserve">are caught during previously unstaffed hours </w:t>
      </w:r>
      <w:r w:rsidR="00497376" w:rsidRPr="00497376">
        <w:t>Idris, Z. (2026)</w:t>
      </w:r>
      <w:r w:rsidR="00497376">
        <w:t>.</w:t>
      </w:r>
    </w:p>
    <w:p w14:paraId="34255688" w14:textId="6E83A3DC" w:rsidR="00934B6F" w:rsidRPr="00934B6F" w:rsidRDefault="00934B6F" w:rsidP="008B7A67">
      <w:pPr>
        <w:pStyle w:val="Heading1"/>
        <w:rPr>
          <w:rFonts w:eastAsia="Times New Roman"/>
        </w:rPr>
      </w:pPr>
      <w:r w:rsidRPr="00934B6F">
        <w:rPr>
          <w:rFonts w:eastAsia="Times New Roman"/>
        </w:rPr>
        <w:t xml:space="preserve">2. The Designer’s Journey &amp; </w:t>
      </w:r>
      <w:r w:rsidRPr="008B7A67">
        <w:t>Validation</w:t>
      </w:r>
    </w:p>
    <w:p w14:paraId="7190C15B" w14:textId="750E3323" w:rsidR="005A79ED" w:rsidRPr="005A79ED" w:rsidRDefault="005A79ED" w:rsidP="008B7A67">
      <w:r w:rsidRPr="005A79ED">
        <w:t xml:space="preserve">The journey began with an ethnographic study of laboratory workflows, summarized through the user persona of "Dr. Sarah," a Senior Stem Cell Researcher. Dr. Sarah represents the thousands of scientists who spend roughly 40% of their working </w:t>
      </w:r>
      <w:r w:rsidR="00733775">
        <w:t>hours</w:t>
      </w:r>
      <w:r w:rsidRPr="005A79ED">
        <w:t xml:space="preserve"> performing repetitive, manual incubator checks. The "Emotional Satisfaction Curve" identified in the initial research highlights a massive "Pain Zone" during the incubation and manual check phases </w:t>
      </w:r>
      <w:r w:rsidR="00497376" w:rsidRPr="00497376">
        <w:t>Idris, Z. (2026)</w:t>
      </w:r>
      <w:r w:rsidRPr="005A79ED">
        <w:t>. This is where human subjectivity often leads to errors; what one researcher considers a "healthy" colony, another may flag.</w:t>
      </w:r>
    </w:p>
    <w:p w14:paraId="5956A8BB" w14:textId="77777777" w:rsidR="005A79ED" w:rsidRPr="005A79ED" w:rsidRDefault="005A79ED" w:rsidP="008B7A67"/>
    <w:p w14:paraId="58F85F21" w14:textId="1CC08E0C" w:rsidR="005A79ED" w:rsidRDefault="005A79ED" w:rsidP="00497376">
      <w:r w:rsidRPr="005A79ED">
        <w:t xml:space="preserve">Validation research was conducted to quantify the market need. The global iPSC market is expanding rapidly, with a Total Addressable Market (TAM) reaching up to $25.7B </w:t>
      </w:r>
      <w:proofErr w:type="spellStart"/>
      <w:r w:rsidR="00497376" w:rsidRPr="00497376">
        <w:t>BioSpace</w:t>
      </w:r>
      <w:proofErr w:type="spellEnd"/>
      <w:r w:rsidR="00497376" w:rsidRPr="00497376">
        <w:t>. (n.d.)</w:t>
      </w:r>
      <w:r w:rsidRPr="005A79ED">
        <w:t>. Despite this growth, laboratories still rely on 20th</w:t>
      </w:r>
      <w:r w:rsidR="0003708B">
        <w:t xml:space="preserve"> </w:t>
      </w:r>
      <w:r w:rsidRPr="005A79ED">
        <w:t>century manual techniques. CellGuard AI validates its necessity by filling the "Overnight Blind Spot"</w:t>
      </w:r>
      <w:r w:rsidR="0003708B">
        <w:t xml:space="preserve"> </w:t>
      </w:r>
      <w:r w:rsidR="00984252" w:rsidRPr="005A79ED">
        <w:t>for the</w:t>
      </w:r>
      <w:r w:rsidRPr="005A79ED">
        <w:t xml:space="preserve"> period between 6:00 PM and 8:00 AM where most </w:t>
      </w:r>
      <w:r w:rsidR="00733775">
        <w:t xml:space="preserve">unexpected </w:t>
      </w:r>
      <w:r w:rsidRPr="005A79ED">
        <w:t>events occur unnoticed. Our validation data suggests that AI</w:t>
      </w:r>
      <w:r w:rsidR="0003708B">
        <w:t xml:space="preserve"> </w:t>
      </w:r>
      <w:r w:rsidRPr="005A79ED">
        <w:t xml:space="preserve">assisted monitoring can identify these anomalies 12 to 18 hours faster than a human observer </w:t>
      </w:r>
      <w:r w:rsidR="00984252" w:rsidRPr="005A79ED">
        <w:t>(</w:t>
      </w:r>
      <w:r w:rsidR="00497376" w:rsidRPr="00497376">
        <w:t>Idris, Z. (2026</w:t>
      </w:r>
      <w:r w:rsidR="00497376" w:rsidRPr="00497376">
        <w:t>)</w:t>
      </w:r>
      <w:r w:rsidR="00497376">
        <w:t>,</w:t>
      </w:r>
      <w:r w:rsidR="00497376" w:rsidRPr="00497376">
        <w:t xml:space="preserve"> </w:t>
      </w:r>
      <w:proofErr w:type="spellStart"/>
      <w:r w:rsidR="00497376" w:rsidRPr="00497376">
        <w:t>BioSpace</w:t>
      </w:r>
      <w:proofErr w:type="spellEnd"/>
      <w:r w:rsidR="00497376" w:rsidRPr="00497376">
        <w:t>. (n.d.)</w:t>
      </w:r>
      <w:r w:rsidRPr="005A79ED">
        <w:t>.</w:t>
      </w:r>
    </w:p>
    <w:p w14:paraId="682E9B3B" w14:textId="30748528" w:rsidR="0003708B" w:rsidRPr="0003708B" w:rsidRDefault="0003708B" w:rsidP="0003708B">
      <w:pPr>
        <w:pStyle w:val="Heading1"/>
      </w:pPr>
      <w:r w:rsidRPr="0003708B">
        <w:rPr>
          <w:highlight w:val="yellow"/>
        </w:rPr>
        <w:t>Pain Points &amp; ROI:</w:t>
      </w:r>
    </w:p>
    <w:p w14:paraId="5F061088" w14:textId="03050D99" w:rsidR="0003708B" w:rsidRPr="0003708B" w:rsidRDefault="00733775" w:rsidP="0003708B">
      <w:r w:rsidRPr="00733775">
        <w:t>Beyond general monitoring, validation pinpointed discrete incidents: oxygen drops stalling metabolism, heaters drying out causing lethal osmotic shifts, and faster growth speed overnight leading to over-</w:t>
      </w:r>
      <w:r w:rsidRPr="00733775">
        <w:lastRenderedPageBreak/>
        <w:t xml:space="preserve">confluency. </w:t>
      </w:r>
      <w:r>
        <w:t xml:space="preserve">Such </w:t>
      </w:r>
      <w:r w:rsidRPr="00733775">
        <w:t>errors</w:t>
      </w:r>
      <w:r>
        <w:t xml:space="preserve"> and more</w:t>
      </w:r>
      <w:r w:rsidRPr="00733775">
        <w:t xml:space="preserve"> cost approximately $2,500–$5,000 per batch. CellGuard AI delivers a clear Return on Investment (ROI), saving a mid-sized lab roughly $120,000 annually in reallocated salary costs</w:t>
      </w:r>
      <w:r w:rsidR="0003708B" w:rsidRPr="0003708B">
        <w:t xml:space="preserve"> (</w:t>
      </w:r>
      <w:proofErr w:type="spellStart"/>
      <w:r w:rsidR="00984252" w:rsidRPr="00497376">
        <w:t>BioSpace</w:t>
      </w:r>
      <w:proofErr w:type="spellEnd"/>
      <w:r w:rsidR="00984252" w:rsidRPr="00497376">
        <w:t>. (n.</w:t>
      </w:r>
      <w:r w:rsidR="00984252" w:rsidRPr="00497376">
        <w:t>d.</w:t>
      </w:r>
      <w:r w:rsidR="0003708B" w:rsidRPr="0003708B">
        <w:t>).</w:t>
      </w:r>
    </w:p>
    <w:p w14:paraId="06B5130B" w14:textId="77777777" w:rsidR="0003708B" w:rsidRPr="0003708B" w:rsidRDefault="0003708B" w:rsidP="0003708B">
      <w:pPr>
        <w:rPr>
          <w:b/>
        </w:rPr>
      </w:pPr>
    </w:p>
    <w:p w14:paraId="6BA8341B" w14:textId="77777777" w:rsidR="0003708B" w:rsidRPr="0003708B" w:rsidRDefault="0003708B" w:rsidP="0003708B">
      <w:pPr>
        <w:pStyle w:val="Heading1"/>
      </w:pPr>
      <w:r w:rsidRPr="0003708B">
        <w:rPr>
          <w:highlight w:val="yellow"/>
        </w:rPr>
        <w:t>Market Positioning &amp; Competitor Analysis:</w:t>
      </w:r>
    </w:p>
    <w:p w14:paraId="0B7455A6" w14:textId="7A46C206" w:rsidR="0003708B" w:rsidRDefault="00733775" w:rsidP="007E6741">
      <w:r w:rsidRPr="00733775">
        <w:t xml:space="preserve">Unlike equipment giants selling expensive closed hardware, CellGuard AI is a SaaS platform. Our unique value is the personalized AI feedback loop </w:t>
      </w:r>
      <w:r w:rsidR="007E6741" w:rsidRPr="007E6741">
        <w:t>where the system learns the specific morphology nuances of a lab's unique cell lines using their available imaging materials. Unlike existing reactive incubator cameras that offer only basic image storage, CellGuard provides validated biological security through a software-first approach.</w:t>
      </w:r>
    </w:p>
    <w:p w14:paraId="5E5193DC" w14:textId="0584F6B0" w:rsidR="00934B6F" w:rsidRPr="00934B6F" w:rsidRDefault="00934B6F" w:rsidP="008B7A67">
      <w:pPr>
        <w:pStyle w:val="Heading1"/>
        <w:rPr>
          <w:rFonts w:eastAsia="Times New Roman"/>
        </w:rPr>
      </w:pPr>
      <w:r w:rsidRPr="00934B6F">
        <w:rPr>
          <w:rFonts w:eastAsia="Times New Roman"/>
        </w:rPr>
        <w:t xml:space="preserve">3. Technical </w:t>
      </w:r>
      <w:r w:rsidRPr="008B7A67">
        <w:t>Specifications</w:t>
      </w:r>
      <w:r w:rsidRPr="00934B6F">
        <w:rPr>
          <w:rFonts w:eastAsia="Times New Roman"/>
        </w:rPr>
        <w:t xml:space="preserve"> &amp; System Architecture</w:t>
      </w:r>
    </w:p>
    <w:p w14:paraId="0F8473F8" w14:textId="30E800A1" w:rsidR="00733775" w:rsidRDefault="00733775" w:rsidP="008B7A67">
      <w:r w:rsidRPr="00733775">
        <w:t xml:space="preserve">The system </w:t>
      </w:r>
      <w:r w:rsidR="00B81924" w:rsidRPr="00733775">
        <w:t>is designed</w:t>
      </w:r>
      <w:r w:rsidRPr="00733775">
        <w:t xml:space="preserve"> to ingest data from existing lab cameras or mobile devices.</w:t>
      </w:r>
    </w:p>
    <w:p w14:paraId="05519765" w14:textId="6AEC8A59" w:rsidR="005A79ED" w:rsidRPr="005A79ED" w:rsidRDefault="005A79ED" w:rsidP="008B7A67">
      <w:r w:rsidRPr="005A79ED">
        <w:rPr>
          <w:b/>
          <w:bCs/>
        </w:rPr>
        <w:t>Front</w:t>
      </w:r>
      <w:r w:rsidR="0003708B">
        <w:rPr>
          <w:b/>
          <w:bCs/>
        </w:rPr>
        <w:t xml:space="preserve"> </w:t>
      </w:r>
      <w:r w:rsidRPr="005A79ED">
        <w:rPr>
          <w:b/>
          <w:bCs/>
        </w:rPr>
        <w:t>End and User Interface (Lovable Integration):</w:t>
      </w:r>
      <w:r w:rsidRPr="005A79ED">
        <w:t xml:space="preserve"> The functional system dashboard was generated using the </w:t>
      </w:r>
      <w:r w:rsidRPr="005A79ED">
        <w:rPr>
          <w:b/>
          <w:bCs/>
        </w:rPr>
        <w:t>Lovable</w:t>
      </w:r>
      <w:r w:rsidRPr="005A79ED">
        <w:t xml:space="preserve"> development platform. This interface serves as the primary touchpoint for researchers, offering real</w:t>
      </w:r>
      <w:r w:rsidR="0003708B">
        <w:t xml:space="preserve"> </w:t>
      </w:r>
      <w:r w:rsidRPr="005A79ED">
        <w:t>time morphology scoring, confluency trend tracking, and a digital audit trail (Lovable, 2026). The use of Lovable allowed for a rapid, user</w:t>
      </w:r>
      <w:r w:rsidR="0003708B">
        <w:t xml:space="preserve"> </w:t>
      </w:r>
      <w:r w:rsidRPr="005A79ED">
        <w:t>centric design that prioritizes data visualization and ease of use in a high</w:t>
      </w:r>
      <w:r w:rsidR="0003708B">
        <w:t xml:space="preserve"> </w:t>
      </w:r>
      <w:r w:rsidRPr="005A79ED">
        <w:t>pressure lab environment.</w:t>
      </w:r>
    </w:p>
    <w:p w14:paraId="2629B8BD" w14:textId="0AC5B084" w:rsidR="005A79ED" w:rsidRPr="005A79ED" w:rsidRDefault="005A79ED" w:rsidP="008B7A67">
      <w:r w:rsidRPr="005A79ED">
        <w:rPr>
          <w:b/>
          <w:bCs/>
        </w:rPr>
        <w:t>Lab Edge Capture Hardware:</w:t>
      </w:r>
      <w:r w:rsidRPr="005A79ED">
        <w:t xml:space="preserve"> The system utilizes incubator</w:t>
      </w:r>
      <w:r w:rsidR="00733775">
        <w:t xml:space="preserve"> </w:t>
      </w:r>
      <w:r w:rsidRPr="005A79ED">
        <w:t>modules. They capture high</w:t>
      </w:r>
      <w:r w:rsidR="0003708B">
        <w:t xml:space="preserve"> </w:t>
      </w:r>
      <w:r w:rsidRPr="005A79ED">
        <w:t>frequency time</w:t>
      </w:r>
      <w:r w:rsidR="0003708B">
        <w:t xml:space="preserve"> </w:t>
      </w:r>
      <w:r w:rsidR="00984252" w:rsidRPr="005A79ED">
        <w:t>lapses</w:t>
      </w:r>
      <w:r w:rsidRPr="005A79ED">
        <w:t xml:space="preserve"> of the cell cultures without disturbing the biological stability of the environment </w:t>
      </w:r>
      <w:r w:rsidR="00984252" w:rsidRPr="005A79ED">
        <w:t>(</w:t>
      </w:r>
      <w:proofErr w:type="spellStart"/>
      <w:r w:rsidR="00984252" w:rsidRPr="00497376">
        <w:t>BioSpace</w:t>
      </w:r>
      <w:proofErr w:type="spellEnd"/>
      <w:r w:rsidR="00984252" w:rsidRPr="00497376">
        <w:t>. (n.d.)</w:t>
      </w:r>
      <w:r w:rsidRPr="005A79ED">
        <w:t>.</w:t>
      </w:r>
    </w:p>
    <w:p w14:paraId="29A0E33C" w14:textId="28B6FCBE" w:rsidR="005A79ED" w:rsidRPr="005A79ED" w:rsidRDefault="005A79ED" w:rsidP="00497376">
      <w:r w:rsidRPr="005A79ED">
        <w:rPr>
          <w:b/>
          <w:bCs/>
        </w:rPr>
        <w:t>Cloud AI Backend:</w:t>
      </w:r>
      <w:r w:rsidRPr="005A79ED">
        <w:t xml:space="preserve"> Data is preprocessed at the edge to reduce bandwidth load before being transmitted to a scalable cloud backend. Here, the AI</w:t>
      </w:r>
      <w:r w:rsidR="0003708B">
        <w:t xml:space="preserve"> </w:t>
      </w:r>
      <w:r w:rsidRPr="005A79ED">
        <w:t>refined through iterative feedback loops</w:t>
      </w:r>
      <w:r w:rsidR="0003708B">
        <w:t xml:space="preserve"> </w:t>
      </w:r>
      <w:r w:rsidRPr="005A79ED">
        <w:t>applies objective morphology scoring</w:t>
      </w:r>
      <w:r w:rsidR="00733775">
        <w:t xml:space="preserve"> </w:t>
      </w:r>
      <w:r w:rsidR="00984252" w:rsidRPr="005A79ED">
        <w:t>(</w:t>
      </w:r>
      <w:proofErr w:type="spellStart"/>
      <w:r w:rsidR="00497376" w:rsidRPr="00497376">
        <w:t>BioSpace</w:t>
      </w:r>
      <w:proofErr w:type="spellEnd"/>
      <w:r w:rsidR="00497376" w:rsidRPr="00497376">
        <w:t>. (n.d.)</w:t>
      </w:r>
      <w:r w:rsidRPr="005A79ED">
        <w:t>.</w:t>
      </w:r>
    </w:p>
    <w:p w14:paraId="1C3A2D98" w14:textId="1ECA085C" w:rsidR="005A79ED" w:rsidRPr="005A79ED" w:rsidRDefault="005A79ED" w:rsidP="008B7A67">
      <w:r w:rsidRPr="005A79ED">
        <w:rPr>
          <w:b/>
          <w:bCs/>
        </w:rPr>
        <w:t>Mobile Monitoring and Alerting:</w:t>
      </w:r>
      <w:r w:rsidRPr="005A79ED">
        <w:t xml:space="preserve"> Through the mobile application, researchers receive instant push notifications. This "System Monitor and Alert" functionality ensures that the lab is essentially "always staffed" by </w:t>
      </w:r>
      <w:r w:rsidR="00B81924" w:rsidRPr="005A79ED">
        <w:t>AI</w:t>
      </w:r>
      <w:r w:rsidRPr="005A79ED">
        <w:t>, providing peace of mind and preventing the loss of months of research.</w:t>
      </w:r>
    </w:p>
    <w:p w14:paraId="3DC2F58B" w14:textId="03F779BF" w:rsidR="008B7A67" w:rsidRPr="008B7A67" w:rsidRDefault="00934B6F" w:rsidP="008B7A67">
      <w:pPr>
        <w:pStyle w:val="Heading1"/>
        <w:rPr>
          <w:rFonts w:eastAsia="Times New Roman"/>
        </w:rPr>
      </w:pPr>
      <w:r w:rsidRPr="00934B6F">
        <w:rPr>
          <w:rFonts w:eastAsia="Times New Roman"/>
        </w:rPr>
        <w:t xml:space="preserve">4. </w:t>
      </w:r>
      <w:r w:rsidR="008B7A67" w:rsidRPr="008B7A67">
        <w:rPr>
          <w:rFonts w:eastAsia="Times New Roman"/>
        </w:rPr>
        <w:t xml:space="preserve">Business Impact and </w:t>
      </w:r>
      <w:r w:rsidR="008B7A67" w:rsidRPr="008B7A67">
        <w:t>Value</w:t>
      </w:r>
      <w:r w:rsidR="008B7A67" w:rsidRPr="008B7A67">
        <w:rPr>
          <w:rFonts w:eastAsia="Times New Roman"/>
        </w:rPr>
        <w:t xml:space="preserve"> Propositions</w:t>
      </w:r>
    </w:p>
    <w:p w14:paraId="7B52BA32" w14:textId="0F0AC743" w:rsidR="008B7A67" w:rsidRPr="008B7A67" w:rsidRDefault="008B7A67" w:rsidP="008B7A67">
      <w:r w:rsidRPr="008B7A67">
        <w:t xml:space="preserve">The financial and operational viability of CellGuard AI is built on six core value pillars </w:t>
      </w:r>
      <w:r w:rsidR="00984252" w:rsidRPr="005A79ED">
        <w:t>(</w:t>
      </w:r>
      <w:r w:rsidR="00984252" w:rsidRPr="00497376">
        <w:t>Idris, Z. (2026)</w:t>
      </w:r>
      <w:r w:rsidR="00984252">
        <w:t xml:space="preserve">, </w:t>
      </w:r>
      <w:r w:rsidRPr="008B7A67">
        <w:t>STEMCELL Technologies, n.d.):</w:t>
      </w:r>
    </w:p>
    <w:p w14:paraId="2FBE152A" w14:textId="2392391C"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24/7 Autonomous Monitoring:</w:t>
      </w:r>
      <w:r w:rsidRPr="008B7A67">
        <w:rPr>
          <w:rFonts w:eastAsia="Times New Roman" w:cstheme="minorHAnsi"/>
          <w14:ligatures w14:val="none"/>
        </w:rPr>
        <w:t xml:space="preserve"> Eliminating lab visits.</w:t>
      </w:r>
    </w:p>
    <w:p w14:paraId="2A3EAF9F" w14:textId="30AFE6DB"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Instant Mobile Alerts:</w:t>
      </w:r>
      <w:r w:rsidRPr="008B7A67">
        <w:rPr>
          <w:rFonts w:eastAsia="Times New Roman" w:cstheme="minorHAnsi"/>
          <w14:ligatures w14:val="none"/>
        </w:rPr>
        <w:t xml:space="preserve"> Reducing the time</w:t>
      </w:r>
      <w:r w:rsidR="0003708B">
        <w:rPr>
          <w:rFonts w:eastAsia="Times New Roman" w:cstheme="minorHAnsi"/>
          <w14:ligatures w14:val="none"/>
        </w:rPr>
        <w:t xml:space="preserve"> </w:t>
      </w:r>
      <w:r w:rsidRPr="008B7A67">
        <w:rPr>
          <w:rFonts w:eastAsia="Times New Roman" w:cstheme="minorHAnsi"/>
          <w14:ligatures w14:val="none"/>
        </w:rPr>
        <w:t>to</w:t>
      </w:r>
      <w:r w:rsidR="0003708B">
        <w:rPr>
          <w:rFonts w:eastAsia="Times New Roman" w:cstheme="minorHAnsi"/>
          <w14:ligatures w14:val="none"/>
        </w:rPr>
        <w:t xml:space="preserve"> </w:t>
      </w:r>
      <w:r w:rsidR="00B81924" w:rsidRPr="008B7A67">
        <w:rPr>
          <w:rFonts w:eastAsia="Times New Roman" w:cstheme="minorHAnsi"/>
          <w14:ligatures w14:val="none"/>
        </w:rPr>
        <w:t>intervention.</w:t>
      </w:r>
    </w:p>
    <w:p w14:paraId="41E4258D" w14:textId="77777777"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Objective Morphology Scoring:</w:t>
      </w:r>
      <w:r w:rsidRPr="008B7A67">
        <w:rPr>
          <w:rFonts w:eastAsia="Times New Roman" w:cstheme="minorHAnsi"/>
          <w14:ligatures w14:val="none"/>
        </w:rPr>
        <w:t xml:space="preserve"> Standardizing quality control across different researchers and institutions.</w:t>
      </w:r>
    </w:p>
    <w:p w14:paraId="6881744D" w14:textId="01BF1740"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Digital Audit Trail:</w:t>
      </w:r>
      <w:r w:rsidRPr="008B7A67">
        <w:rPr>
          <w:rFonts w:eastAsia="Times New Roman" w:cstheme="minorHAnsi"/>
          <w14:ligatures w14:val="none"/>
        </w:rPr>
        <w:t xml:space="preserve"> Providing full traceability, which is a mandatory requirement for future FDA clinical</w:t>
      </w:r>
      <w:r w:rsidR="0003708B">
        <w:rPr>
          <w:rFonts w:eastAsia="Times New Roman" w:cstheme="minorHAnsi"/>
          <w14:ligatures w14:val="none"/>
        </w:rPr>
        <w:t xml:space="preserve"> </w:t>
      </w:r>
      <w:r w:rsidRPr="008B7A67">
        <w:rPr>
          <w:rFonts w:eastAsia="Times New Roman" w:cstheme="minorHAnsi"/>
          <w14:ligatures w14:val="none"/>
        </w:rPr>
        <w:t>grade production.</w:t>
      </w:r>
    </w:p>
    <w:p w14:paraId="4957A542" w14:textId="77777777"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Labor Efficiency:</w:t>
      </w:r>
      <w:r w:rsidRPr="008B7A67">
        <w:rPr>
          <w:rFonts w:eastAsia="Times New Roman" w:cstheme="minorHAnsi"/>
          <w14:ligatures w14:val="none"/>
        </w:rPr>
        <w:t xml:space="preserve"> Reallocating thousands of human hours back toward scientific analysis rather than routine maintenance.</w:t>
      </w:r>
    </w:p>
    <w:p w14:paraId="426BB569" w14:textId="2B8B1EB2" w:rsidR="008B7A67" w:rsidRPr="008B7A67" w:rsidRDefault="008B7A67" w:rsidP="008B7A67">
      <w:pPr>
        <w:numPr>
          <w:ilvl w:val="0"/>
          <w:numId w:val="12"/>
        </w:numPr>
        <w:spacing w:before="100" w:beforeAutospacing="1" w:after="100" w:afterAutospacing="1" w:line="240" w:lineRule="auto"/>
        <w:jc w:val="left"/>
        <w:rPr>
          <w:rFonts w:eastAsia="Times New Roman" w:cstheme="minorHAnsi"/>
          <w14:ligatures w14:val="none"/>
        </w:rPr>
      </w:pPr>
      <w:r w:rsidRPr="008B7A67">
        <w:rPr>
          <w:rFonts w:eastAsia="Times New Roman" w:cstheme="minorHAnsi"/>
          <w:b/>
          <w:bCs/>
          <w14:ligatures w14:val="none"/>
        </w:rPr>
        <w:t>Stage Troubleshooting:</w:t>
      </w:r>
      <w:r w:rsidRPr="008B7A67">
        <w:rPr>
          <w:rFonts w:eastAsia="Times New Roman" w:cstheme="minorHAnsi"/>
          <w14:ligatures w14:val="none"/>
        </w:rPr>
        <w:t xml:space="preserve"> Utilizing AI</w:t>
      </w:r>
      <w:r w:rsidR="0003708B">
        <w:rPr>
          <w:rFonts w:eastAsia="Times New Roman" w:cstheme="minorHAnsi"/>
          <w14:ligatures w14:val="none"/>
        </w:rPr>
        <w:t xml:space="preserve"> </w:t>
      </w:r>
      <w:r w:rsidRPr="008B7A67">
        <w:rPr>
          <w:rFonts w:eastAsia="Times New Roman" w:cstheme="minorHAnsi"/>
          <w14:ligatures w14:val="none"/>
        </w:rPr>
        <w:t xml:space="preserve">guided diagnostics to pinpoint exactly when a culture begins to deviate from the protocol </w:t>
      </w:r>
      <w:r w:rsidR="00984252" w:rsidRPr="005A79ED">
        <w:t>(</w:t>
      </w:r>
      <w:r w:rsidR="00984252" w:rsidRPr="00984252">
        <w:rPr>
          <w:rFonts w:eastAsia="Times New Roman" w:cstheme="minorHAnsi"/>
          <w14:ligatures w14:val="none"/>
        </w:rPr>
        <w:t>Ivanova, D. (2025)</w:t>
      </w:r>
      <w:r w:rsidRPr="008B7A67">
        <w:rPr>
          <w:rFonts w:eastAsia="Times New Roman" w:cstheme="minorHAnsi"/>
          <w14:ligatures w14:val="none"/>
        </w:rPr>
        <w:t>.</w:t>
      </w:r>
    </w:p>
    <w:p w14:paraId="7B2B05DD" w14:textId="77777777" w:rsidR="008B7A67" w:rsidRPr="008B7A67" w:rsidRDefault="008B7A67" w:rsidP="008B7A67">
      <w:pPr>
        <w:pStyle w:val="Heading1"/>
        <w:rPr>
          <w:rFonts w:eastAsia="Times New Roman"/>
        </w:rPr>
      </w:pPr>
      <w:r w:rsidRPr="00F93564">
        <w:rPr>
          <w:rFonts w:eastAsia="Times New Roman"/>
          <w:highlight w:val="yellow"/>
        </w:rPr>
        <w:t xml:space="preserve">Strategic Roadmap to </w:t>
      </w:r>
      <w:r w:rsidRPr="00F93564">
        <w:rPr>
          <w:highlight w:val="yellow"/>
        </w:rPr>
        <w:t>Commercialization</w:t>
      </w:r>
    </w:p>
    <w:p w14:paraId="06FFF266" w14:textId="54B1A1B5" w:rsidR="008B7A67" w:rsidRPr="008B7A67" w:rsidRDefault="008B7A67" w:rsidP="008B7A67">
      <w:r w:rsidRPr="008B7A67">
        <w:t>transitioning from its MVP (Minimum Viable Product) stage to a high</w:t>
      </w:r>
      <w:r w:rsidR="0003708B">
        <w:t xml:space="preserve"> </w:t>
      </w:r>
      <w:r w:rsidRPr="008B7A67">
        <w:t>precision commercial tool:</w:t>
      </w:r>
    </w:p>
    <w:p w14:paraId="1D80EA85" w14:textId="47FD617A" w:rsidR="008B7A67" w:rsidRPr="008B7A67" w:rsidRDefault="008B7A67" w:rsidP="008B7A67">
      <w:r w:rsidRPr="008B7A67">
        <w:rPr>
          <w:b/>
          <w:bCs/>
        </w:rPr>
        <w:t xml:space="preserve">Phase </w:t>
      </w:r>
      <w:r w:rsidR="00984252" w:rsidRPr="008B7A67">
        <w:rPr>
          <w:b/>
          <w:bCs/>
        </w:rPr>
        <w:t>1:</w:t>
      </w:r>
      <w:r w:rsidRPr="008B7A67">
        <w:t xml:space="preserve"> Launch within a selected research lab network to gather diverse iPSC datasets.</w:t>
      </w:r>
    </w:p>
    <w:p w14:paraId="3FAB1D74" w14:textId="566DC9B5" w:rsidR="008B7A67" w:rsidRPr="008B7A67" w:rsidRDefault="008B7A67" w:rsidP="008B7A67">
      <w:r w:rsidRPr="008B7A67">
        <w:rPr>
          <w:b/>
          <w:bCs/>
        </w:rPr>
        <w:t xml:space="preserve">Phase </w:t>
      </w:r>
      <w:r w:rsidR="00984252" w:rsidRPr="008B7A67">
        <w:rPr>
          <w:b/>
          <w:bCs/>
        </w:rPr>
        <w:t>2:</w:t>
      </w:r>
      <w:r w:rsidRPr="008B7A67">
        <w:t xml:space="preserve"> Expansion into "Multi</w:t>
      </w:r>
      <w:r w:rsidR="0003708B">
        <w:t xml:space="preserve"> </w:t>
      </w:r>
      <w:r w:rsidRPr="008B7A67">
        <w:t>Line" monitoring, covering Mesenchymal Stem Cells (MSCs) and primary cells.</w:t>
      </w:r>
    </w:p>
    <w:p w14:paraId="73413373" w14:textId="132565D6" w:rsidR="005A79ED" w:rsidRDefault="008B7A67" w:rsidP="00984252">
      <w:r w:rsidRPr="008B7A67">
        <w:rPr>
          <w:b/>
          <w:bCs/>
        </w:rPr>
        <w:t>Phase 3</w:t>
      </w:r>
      <w:r>
        <w:t xml:space="preserve">: </w:t>
      </w:r>
      <w:r w:rsidRPr="008B7A67">
        <w:t xml:space="preserve">Achieving the FDA Regulatory Mark. This phase will involve the shift to "Virtual Monitoring," </w:t>
      </w:r>
      <w:r w:rsidR="0003708B" w:rsidRPr="0003708B">
        <w:t>where software-only time-based simulations forecast in advance, allowing for proactive intervention</w:t>
      </w:r>
      <w:r w:rsidR="0003708B">
        <w:t xml:space="preserve"> </w:t>
      </w:r>
      <w:r w:rsidR="00984252" w:rsidRPr="005A79ED">
        <w:t>(</w:t>
      </w:r>
      <w:r w:rsidR="00984252" w:rsidRPr="00497376">
        <w:t>Idris, Z. (2026)</w:t>
      </w:r>
      <w:r w:rsidRPr="008B7A67">
        <w:t>.</w:t>
      </w:r>
    </w:p>
    <w:p w14:paraId="1710D7EC" w14:textId="77777777" w:rsidR="008B7A67" w:rsidRDefault="008B7A67" w:rsidP="008B7A67"/>
    <w:p w14:paraId="6AE3ACB6" w14:textId="77777777" w:rsidR="008B7A67" w:rsidRDefault="008B7A67" w:rsidP="008B7A67"/>
    <w:p w14:paraId="483BC85D" w14:textId="77777777" w:rsidR="008B7A67" w:rsidRDefault="008B7A67" w:rsidP="008B7A67"/>
    <w:p w14:paraId="7EE37D94" w14:textId="77777777" w:rsidR="008B7A67" w:rsidRDefault="008B7A67" w:rsidP="008B7A67"/>
    <w:p w14:paraId="0656DC3A" w14:textId="77777777" w:rsidR="008B7A67" w:rsidRDefault="008B7A67" w:rsidP="008B7A67"/>
    <w:p w14:paraId="146C099E" w14:textId="77777777" w:rsidR="008B7A67" w:rsidRPr="008B7A67" w:rsidRDefault="008B7A67" w:rsidP="008B7A67"/>
    <w:p w14:paraId="1C836E7E" w14:textId="77777777" w:rsidR="005A79ED" w:rsidRDefault="005A79ED" w:rsidP="005A79ED">
      <w:pPr>
        <w:spacing w:before="100" w:beforeAutospacing="1" w:after="100" w:afterAutospacing="1" w:line="240" w:lineRule="auto"/>
        <w:jc w:val="left"/>
        <w:rPr>
          <w:rFonts w:eastAsia="Times New Roman" w:cstheme="minorHAnsi"/>
          <w:sz w:val="24"/>
          <w:szCs w:val="24"/>
          <w14:ligatures w14:val="none"/>
        </w:rPr>
      </w:pPr>
    </w:p>
    <w:p w14:paraId="2481F780" w14:textId="77777777" w:rsidR="005A79ED" w:rsidRDefault="005A79ED" w:rsidP="005A79ED">
      <w:pPr>
        <w:spacing w:before="100" w:beforeAutospacing="1" w:after="100" w:afterAutospacing="1" w:line="240" w:lineRule="auto"/>
        <w:jc w:val="left"/>
        <w:rPr>
          <w:rFonts w:eastAsia="Times New Roman" w:cstheme="minorHAnsi"/>
          <w:sz w:val="24"/>
          <w:szCs w:val="24"/>
          <w14:ligatures w14:val="none"/>
        </w:rPr>
      </w:pPr>
    </w:p>
    <w:p w14:paraId="19929D7A" w14:textId="77777777" w:rsidR="005A79ED" w:rsidRDefault="005A79ED" w:rsidP="005A79ED">
      <w:pPr>
        <w:spacing w:before="100" w:beforeAutospacing="1" w:after="100" w:afterAutospacing="1" w:line="240" w:lineRule="auto"/>
        <w:jc w:val="left"/>
        <w:rPr>
          <w:rFonts w:eastAsia="Times New Roman" w:cstheme="minorHAnsi"/>
          <w:sz w:val="24"/>
          <w:szCs w:val="24"/>
          <w14:ligatures w14:val="none"/>
        </w:rPr>
      </w:pPr>
    </w:p>
    <w:p w14:paraId="02F16094" w14:textId="77777777" w:rsidR="005A79ED" w:rsidRDefault="005A79ED" w:rsidP="005A79ED">
      <w:pPr>
        <w:spacing w:before="100" w:beforeAutospacing="1" w:after="100" w:afterAutospacing="1" w:line="240" w:lineRule="auto"/>
        <w:jc w:val="left"/>
        <w:rPr>
          <w:rFonts w:eastAsia="Times New Roman" w:cstheme="minorHAnsi"/>
          <w:sz w:val="24"/>
          <w:szCs w:val="24"/>
          <w14:ligatures w14:val="none"/>
        </w:rPr>
      </w:pPr>
    </w:p>
    <w:p w14:paraId="493B65CC" w14:textId="77777777" w:rsidR="005A79ED" w:rsidRDefault="005A79ED" w:rsidP="005A79ED">
      <w:pPr>
        <w:spacing w:before="100" w:beforeAutospacing="1" w:after="100" w:afterAutospacing="1" w:line="240" w:lineRule="auto"/>
        <w:jc w:val="left"/>
        <w:rPr>
          <w:rFonts w:eastAsia="Times New Roman" w:cstheme="minorHAnsi"/>
          <w:sz w:val="24"/>
          <w:szCs w:val="24"/>
          <w14:ligatures w14:val="none"/>
        </w:rPr>
      </w:pPr>
    </w:p>
    <w:p w14:paraId="0CBCAF3C" w14:textId="77777777" w:rsidR="005A79ED" w:rsidRPr="00934B6F" w:rsidRDefault="005A79ED" w:rsidP="005A79ED">
      <w:pPr>
        <w:spacing w:before="100" w:beforeAutospacing="1" w:after="100" w:afterAutospacing="1" w:line="240" w:lineRule="auto"/>
        <w:jc w:val="left"/>
        <w:rPr>
          <w:rFonts w:eastAsia="Times New Roman" w:cstheme="minorHAnsi"/>
          <w:sz w:val="24"/>
          <w:szCs w:val="24"/>
          <w14:ligatures w14:val="none"/>
        </w:rPr>
      </w:pPr>
    </w:p>
    <w:p w14:paraId="0E0647D5" w14:textId="4CA5BF0C" w:rsidR="00934B6F" w:rsidRPr="00934B6F" w:rsidRDefault="00934B6F" w:rsidP="00934B6F">
      <w:pPr>
        <w:pStyle w:val="Heading1"/>
        <w:rPr>
          <w:rFonts w:eastAsia="Times New Roman"/>
        </w:rPr>
      </w:pPr>
      <w:r w:rsidRPr="00934B6F">
        <w:rPr>
          <w:rFonts w:eastAsia="Times New Roman"/>
        </w:rPr>
        <w:t xml:space="preserve"> Acknowledgements </w:t>
      </w:r>
    </w:p>
    <w:p w14:paraId="5A380095" w14:textId="29A3B607" w:rsidR="005A79ED" w:rsidRDefault="00934B6F" w:rsidP="005A79ED">
      <w:pPr>
        <w:spacing w:before="100" w:beforeAutospacing="1" w:after="100" w:afterAutospacing="1" w:line="240" w:lineRule="auto"/>
        <w:jc w:val="left"/>
        <w:rPr>
          <w:rFonts w:eastAsia="Times New Roman" w:cstheme="minorHAnsi"/>
          <w:sz w:val="24"/>
          <w:szCs w:val="24"/>
          <w14:ligatures w14:val="none"/>
        </w:rPr>
      </w:pPr>
      <w:r w:rsidRPr="00934B6F">
        <w:rPr>
          <w:rFonts w:eastAsia="Times New Roman" w:cstheme="minorHAnsi"/>
          <w:sz w:val="24"/>
          <w:szCs w:val="24"/>
          <w14:ligatures w14:val="none"/>
        </w:rPr>
        <w:t xml:space="preserve">During the design, conceptualization, and technical documentation of CellGuard AI, the designer </w:t>
      </w:r>
      <w:r w:rsidR="00984252" w:rsidRPr="00934B6F">
        <w:rPr>
          <w:rFonts w:eastAsia="Times New Roman" w:cstheme="minorHAnsi"/>
          <w:sz w:val="24"/>
          <w:szCs w:val="24"/>
          <w14:ligatures w14:val="none"/>
        </w:rPr>
        <w:t>utilized AI</w:t>
      </w:r>
      <w:r w:rsidRPr="00934B6F">
        <w:rPr>
          <w:rFonts w:eastAsia="Times New Roman" w:cstheme="minorHAnsi"/>
          <w:sz w:val="24"/>
          <w:szCs w:val="24"/>
          <w14:ligatures w14:val="none"/>
        </w:rPr>
        <w:t xml:space="preserve"> assistants, including </w:t>
      </w:r>
      <w:r w:rsidRPr="00984252">
        <w:rPr>
          <w:rFonts w:eastAsia="Times New Roman" w:cstheme="minorHAnsi"/>
          <w:sz w:val="24"/>
          <w:szCs w:val="24"/>
          <w14:ligatures w14:val="none"/>
        </w:rPr>
        <w:t>Gemini and Claude, for research synthesis and architectural drafting, alongside Lovable for</w:t>
      </w:r>
      <w:r w:rsidRPr="00934B6F">
        <w:rPr>
          <w:rFonts w:eastAsia="Times New Roman" w:cstheme="minorHAnsi"/>
          <w:sz w:val="24"/>
          <w:szCs w:val="24"/>
          <w14:ligatures w14:val="none"/>
        </w:rPr>
        <w:t xml:space="preserve"> system interface generation. While these tools acted as essential assistants in refining the business idea and generating the technical report, the designer retains full responsibility for the system's final design, its practical application, and the accuracy of the following report.</w:t>
      </w:r>
    </w:p>
    <w:p w14:paraId="6CC85FCB" w14:textId="1C007FEA" w:rsidR="00934B6F" w:rsidRPr="005A79ED" w:rsidRDefault="00934B6F" w:rsidP="005A79ED">
      <w:pPr>
        <w:pStyle w:val="Heading1"/>
        <w:rPr>
          <w:rFonts w:eastAsia="Times New Roman" w:cstheme="minorHAnsi"/>
          <w:sz w:val="24"/>
          <w:szCs w:val="24"/>
          <w14:ligatures w14:val="none"/>
        </w:rPr>
      </w:pPr>
      <w:r w:rsidRPr="00934B6F">
        <w:rPr>
          <w:rFonts w:eastAsia="Times New Roman"/>
        </w:rPr>
        <w:t xml:space="preserve">References </w:t>
      </w:r>
    </w:p>
    <w:p w14:paraId="1521C120" w14:textId="4B88A516" w:rsidR="00497376" w:rsidRPr="00497376" w:rsidRDefault="00497376"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Idris, Z. (2026). </w:t>
      </w:r>
      <w:r w:rsidRPr="00497376">
        <w:rPr>
          <w:rFonts w:eastAsia="Times New Roman" w:cstheme="minorHAnsi"/>
          <w:i/>
          <w:iCs/>
          <w:sz w:val="24"/>
          <w:szCs w:val="24"/>
          <w14:ligatures w14:val="none"/>
        </w:rPr>
        <w:t>CellGuard AI: Precision automation for advanced cell therapy</w:t>
      </w:r>
      <w:r w:rsidRPr="00497376">
        <w:rPr>
          <w:rFonts w:eastAsia="Times New Roman" w:cstheme="minorHAnsi"/>
          <w:sz w:val="24"/>
          <w:szCs w:val="24"/>
          <w14:ligatures w14:val="none"/>
        </w:rPr>
        <w:t xml:space="preserve"> [Unpublished manuscript].</w:t>
      </w:r>
    </w:p>
    <w:p w14:paraId="5E0FCE34" w14:textId="27A0C2BF" w:rsidR="00934B6F" w:rsidRPr="00497376" w:rsidRDefault="00934B6F"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proofErr w:type="spellStart"/>
      <w:r w:rsidRPr="00497376">
        <w:rPr>
          <w:rFonts w:eastAsia="Times New Roman" w:cstheme="minorHAnsi"/>
          <w:sz w:val="24"/>
          <w:szCs w:val="24"/>
          <w14:ligatures w14:val="none"/>
        </w:rPr>
        <w:t>BioSpace</w:t>
      </w:r>
      <w:proofErr w:type="spellEnd"/>
      <w:r w:rsidRPr="00497376">
        <w:rPr>
          <w:rFonts w:eastAsia="Times New Roman" w:cstheme="minorHAnsi"/>
          <w:sz w:val="24"/>
          <w:szCs w:val="24"/>
          <w14:ligatures w14:val="none"/>
        </w:rPr>
        <w:t xml:space="preserve">. (n.d.). </w:t>
      </w:r>
      <w:r w:rsidRPr="00497376">
        <w:rPr>
          <w:rFonts w:eastAsia="Times New Roman" w:cstheme="minorHAnsi"/>
          <w:i/>
          <w:iCs/>
          <w:sz w:val="24"/>
          <w:szCs w:val="24"/>
          <w14:ligatures w14:val="none"/>
        </w:rPr>
        <w:t>Biopharmaceutical news and cell therapy trends</w:t>
      </w:r>
      <w:r w:rsidRPr="00497376">
        <w:rPr>
          <w:rFonts w:eastAsia="Times New Roman" w:cstheme="minorHAnsi"/>
          <w:sz w:val="24"/>
          <w:szCs w:val="24"/>
          <w14:ligatures w14:val="none"/>
        </w:rPr>
        <w:t xml:space="preserve">. </w:t>
      </w:r>
      <w:hyperlink r:id="rId5" w:tgtFrame="_blank" w:history="1">
        <w:r w:rsidRPr="00497376">
          <w:rPr>
            <w:rFonts w:eastAsia="Times New Roman" w:cstheme="minorHAnsi"/>
            <w:color w:val="0000FF"/>
            <w:sz w:val="24"/>
            <w:szCs w:val="24"/>
            <w:u w:val="single"/>
            <w14:ligatures w14:val="none"/>
          </w:rPr>
          <w:t>https://www.biospace.com</w:t>
        </w:r>
      </w:hyperlink>
    </w:p>
    <w:p w14:paraId="3BE08E30" w14:textId="37737218" w:rsidR="00934B6F" w:rsidRPr="00497376" w:rsidRDefault="00984252" w:rsidP="00984252">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984252">
        <w:rPr>
          <w:rFonts w:eastAsia="Times New Roman" w:cstheme="minorHAnsi"/>
          <w:sz w:val="24"/>
          <w:szCs w:val="24"/>
          <w14:ligatures w14:val="none"/>
        </w:rPr>
        <w:t>Ivanova</w:t>
      </w:r>
      <w:r>
        <w:rPr>
          <w:rFonts w:eastAsia="Times New Roman" w:cstheme="minorHAnsi"/>
          <w:sz w:val="24"/>
          <w:szCs w:val="24"/>
          <w14:ligatures w14:val="none"/>
        </w:rPr>
        <w:t xml:space="preserve">, </w:t>
      </w:r>
      <w:r w:rsidRPr="00984252">
        <w:rPr>
          <w:rFonts w:eastAsia="Times New Roman" w:cstheme="minorHAnsi"/>
          <w:sz w:val="24"/>
          <w:szCs w:val="24"/>
          <w14:ligatures w14:val="none"/>
        </w:rPr>
        <w:t>D</w:t>
      </w:r>
      <w:r w:rsidR="00934B6F" w:rsidRPr="00497376">
        <w:rPr>
          <w:rFonts w:eastAsia="Times New Roman" w:cstheme="minorHAnsi"/>
          <w:sz w:val="24"/>
          <w:szCs w:val="24"/>
          <w14:ligatures w14:val="none"/>
        </w:rPr>
        <w:t>. (</w:t>
      </w:r>
      <w:r>
        <w:rPr>
          <w:rFonts w:eastAsia="Times New Roman" w:cstheme="minorHAnsi"/>
          <w:sz w:val="24"/>
          <w:szCs w:val="24"/>
          <w14:ligatures w14:val="none"/>
        </w:rPr>
        <w:t>2025</w:t>
      </w:r>
      <w:r w:rsidR="00934B6F" w:rsidRPr="00497376">
        <w:rPr>
          <w:rFonts w:eastAsia="Times New Roman" w:cstheme="minorHAnsi"/>
          <w:sz w:val="24"/>
          <w:szCs w:val="24"/>
          <w14:ligatures w14:val="none"/>
        </w:rPr>
        <w:t xml:space="preserve">). </w:t>
      </w:r>
      <w:r w:rsidRPr="00984252">
        <w:rPr>
          <w:rFonts w:eastAsia="Times New Roman" w:cstheme="minorHAnsi"/>
          <w:i/>
          <w:iCs/>
          <w:sz w:val="24"/>
          <w:szCs w:val="24"/>
          <w14:ligatures w14:val="none"/>
        </w:rPr>
        <w:t>Key Challenges in Clinical iPSC Applications</w:t>
      </w:r>
      <w:r w:rsidR="00934B6F" w:rsidRPr="00497376">
        <w:rPr>
          <w:rFonts w:eastAsia="Times New Roman" w:cstheme="minorHAnsi"/>
          <w:sz w:val="24"/>
          <w:szCs w:val="24"/>
          <w14:ligatures w14:val="none"/>
        </w:rPr>
        <w:t xml:space="preserve">. </w:t>
      </w:r>
      <w:hyperlink r:id="rId6" w:history="1">
        <w:hyperlink r:id="rId7" w:history="1">
          <w:r w:rsidR="00934B6F" w:rsidRPr="00984252">
            <w:rPr>
              <w:rStyle w:val="Hyperlink"/>
              <w:rFonts w:eastAsia="Times New Roman" w:cstheme="minorHAnsi"/>
              <w:sz w:val="24"/>
              <w:szCs w:val="24"/>
              <w14:ligatures w14:val="none"/>
            </w:rPr>
            <w:t>https:///ipsc</w:t>
          </w:r>
          <w:r w:rsidR="0003708B" w:rsidRPr="00984252">
            <w:rPr>
              <w:rStyle w:val="Hyperlink"/>
              <w:rFonts w:eastAsia="Times New Roman" w:cstheme="minorHAnsi"/>
              <w:sz w:val="24"/>
              <w:szCs w:val="24"/>
              <w14:ligatures w14:val="none"/>
            </w:rPr>
            <w:t xml:space="preserve"> </w:t>
          </w:r>
          <w:r w:rsidR="00934B6F" w:rsidRPr="00984252">
            <w:rPr>
              <w:rStyle w:val="Hyperlink"/>
              <w:rFonts w:eastAsia="Times New Roman" w:cstheme="minorHAnsi"/>
              <w:sz w:val="24"/>
              <w:szCs w:val="24"/>
              <w14:ligatures w14:val="none"/>
            </w:rPr>
            <w:t>maintenance</w:t>
          </w:r>
          <w:r w:rsidR="0003708B" w:rsidRPr="00984252">
            <w:rPr>
              <w:rStyle w:val="Hyperlink"/>
              <w:rFonts w:eastAsia="Times New Roman" w:cstheme="minorHAnsi"/>
              <w:sz w:val="24"/>
              <w:szCs w:val="24"/>
              <w14:ligatures w14:val="none"/>
            </w:rPr>
            <w:t xml:space="preserve"> </w:t>
          </w:r>
          <w:r w:rsidR="00934B6F" w:rsidRPr="00984252">
            <w:rPr>
              <w:rStyle w:val="Hyperlink"/>
              <w:rFonts w:eastAsia="Times New Roman" w:cstheme="minorHAnsi"/>
              <w:sz w:val="24"/>
              <w:szCs w:val="24"/>
              <w14:ligatures w14:val="none"/>
            </w:rPr>
            <w:t>c</w:t>
          </w:r>
          <w:r w:rsidR="00934B6F" w:rsidRPr="00984252">
            <w:rPr>
              <w:rStyle w:val="Hyperlink"/>
              <w:rFonts w:eastAsia="Times New Roman" w:cstheme="minorHAnsi"/>
              <w:sz w:val="24"/>
              <w:szCs w:val="24"/>
              <w14:ligatures w14:val="none"/>
            </w:rPr>
            <w:t>halle</w:t>
          </w:r>
          <w:r w:rsidR="00934B6F" w:rsidRPr="00984252">
            <w:rPr>
              <w:rStyle w:val="Hyperlink"/>
              <w:rFonts w:eastAsia="Times New Roman" w:cstheme="minorHAnsi"/>
              <w:sz w:val="24"/>
              <w:szCs w:val="24"/>
              <w14:ligatures w14:val="none"/>
            </w:rPr>
            <w:t>nges</w:t>
          </w:r>
        </w:hyperlink>
      </w:hyperlink>
    </w:p>
    <w:p w14:paraId="2A63243E" w14:textId="77876A58" w:rsidR="00934B6F" w:rsidRPr="00497376" w:rsidRDefault="00934B6F"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Lovable. (2026). </w:t>
      </w:r>
      <w:r w:rsidRPr="00497376">
        <w:rPr>
          <w:rFonts w:eastAsia="Times New Roman" w:cstheme="minorHAnsi"/>
          <w:i/>
          <w:iCs/>
          <w:sz w:val="24"/>
          <w:szCs w:val="24"/>
          <w14:ligatures w14:val="none"/>
        </w:rPr>
        <w:t>CellGuard AI Project Interface (v1.0)</w:t>
      </w:r>
      <w:r w:rsidRPr="00497376">
        <w:rPr>
          <w:rFonts w:eastAsia="Times New Roman" w:cstheme="minorHAnsi"/>
          <w:sz w:val="24"/>
          <w:szCs w:val="24"/>
          <w14:ligatures w14:val="none"/>
        </w:rPr>
        <w:t xml:space="preserve">. </w:t>
      </w:r>
      <w:hyperlink r:id="rId8" w:history="1">
        <w:hyperlink r:id="rId9" w:tgtFrame="_blank" w:history="1">
          <w:r w:rsidRPr="00497376">
            <w:rPr>
              <w:rStyle w:val="Hyperlink"/>
              <w:rFonts w:eastAsia="Times New Roman" w:cstheme="minorHAnsi"/>
              <w:sz w:val="24"/>
              <w:szCs w:val="24"/>
              <w14:ligatures w14:val="none"/>
            </w:rPr>
            <w:t>https://lovable.dev/projects/eec6cf0f</w:t>
          </w:r>
          <w:r w:rsidR="0003708B" w:rsidRPr="00497376">
            <w:rPr>
              <w:rStyle w:val="Hyperlink"/>
              <w:rFonts w:eastAsia="Times New Roman" w:cstheme="minorHAnsi"/>
              <w:sz w:val="24"/>
              <w:szCs w:val="24"/>
              <w14:ligatures w14:val="none"/>
            </w:rPr>
            <w:t xml:space="preserve"> </w:t>
          </w:r>
          <w:r w:rsidRPr="00497376">
            <w:rPr>
              <w:rStyle w:val="Hyperlink"/>
              <w:rFonts w:eastAsia="Times New Roman" w:cstheme="minorHAnsi"/>
              <w:sz w:val="24"/>
              <w:szCs w:val="24"/>
              <w14:ligatures w14:val="none"/>
            </w:rPr>
            <w:t>9733</w:t>
          </w:r>
          <w:r w:rsidR="0003708B" w:rsidRPr="00497376">
            <w:rPr>
              <w:rStyle w:val="Hyperlink"/>
              <w:rFonts w:eastAsia="Times New Roman" w:cstheme="minorHAnsi"/>
              <w:sz w:val="24"/>
              <w:szCs w:val="24"/>
              <w14:ligatures w14:val="none"/>
            </w:rPr>
            <w:t xml:space="preserve"> </w:t>
          </w:r>
          <w:r w:rsidRPr="00497376">
            <w:rPr>
              <w:rStyle w:val="Hyperlink"/>
              <w:rFonts w:eastAsia="Times New Roman" w:cstheme="minorHAnsi"/>
              <w:sz w:val="24"/>
              <w:szCs w:val="24"/>
              <w14:ligatures w14:val="none"/>
            </w:rPr>
            <w:t>4354</w:t>
          </w:r>
          <w:r w:rsidR="0003708B" w:rsidRPr="00497376">
            <w:rPr>
              <w:rStyle w:val="Hyperlink"/>
              <w:rFonts w:eastAsia="Times New Roman" w:cstheme="minorHAnsi"/>
              <w:sz w:val="24"/>
              <w:szCs w:val="24"/>
              <w14:ligatures w14:val="none"/>
            </w:rPr>
            <w:t xml:space="preserve"> </w:t>
          </w:r>
          <w:r w:rsidRPr="00497376">
            <w:rPr>
              <w:rStyle w:val="Hyperlink"/>
              <w:rFonts w:eastAsia="Times New Roman" w:cstheme="minorHAnsi"/>
              <w:sz w:val="24"/>
              <w:szCs w:val="24"/>
              <w14:ligatures w14:val="none"/>
            </w:rPr>
            <w:t>abc8</w:t>
          </w:r>
          <w:r w:rsidR="0003708B" w:rsidRPr="00497376">
            <w:rPr>
              <w:rStyle w:val="Hyperlink"/>
              <w:rFonts w:eastAsia="Times New Roman" w:cstheme="minorHAnsi"/>
              <w:sz w:val="24"/>
              <w:szCs w:val="24"/>
              <w14:ligatures w14:val="none"/>
            </w:rPr>
            <w:t xml:space="preserve"> </w:t>
          </w:r>
          <w:r w:rsidRPr="00497376">
            <w:rPr>
              <w:rStyle w:val="Hyperlink"/>
              <w:rFonts w:eastAsia="Times New Roman" w:cstheme="minorHAnsi"/>
              <w:sz w:val="24"/>
              <w:szCs w:val="24"/>
              <w14:ligatures w14:val="none"/>
            </w:rPr>
            <w:t>05b8333c2554</w:t>
          </w:r>
        </w:hyperlink>
      </w:hyperlink>
    </w:p>
    <w:p w14:paraId="38721898" w14:textId="63EA129F" w:rsidR="00934B6F" w:rsidRPr="00497376" w:rsidRDefault="00934B6F"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STEMCELL Technologies. (n.d.). </w:t>
      </w:r>
      <w:r w:rsidRPr="00497376">
        <w:rPr>
          <w:rFonts w:eastAsia="Times New Roman" w:cstheme="minorHAnsi"/>
          <w:i/>
          <w:iCs/>
          <w:sz w:val="24"/>
          <w:szCs w:val="24"/>
          <w14:ligatures w14:val="none"/>
        </w:rPr>
        <w:t xml:space="preserve">Troubleshooting tips for </w:t>
      </w:r>
      <w:proofErr w:type="spellStart"/>
      <w:r w:rsidRPr="00497376">
        <w:rPr>
          <w:rFonts w:eastAsia="Times New Roman" w:cstheme="minorHAnsi"/>
          <w:i/>
          <w:iCs/>
          <w:sz w:val="24"/>
          <w:szCs w:val="24"/>
          <w14:ligatures w14:val="none"/>
        </w:rPr>
        <w:t>hPSC</w:t>
      </w:r>
      <w:proofErr w:type="spellEnd"/>
      <w:r w:rsidRPr="00497376">
        <w:rPr>
          <w:rFonts w:eastAsia="Times New Roman" w:cstheme="minorHAnsi"/>
          <w:i/>
          <w:iCs/>
          <w:sz w:val="24"/>
          <w:szCs w:val="24"/>
          <w14:ligatures w14:val="none"/>
        </w:rPr>
        <w:t xml:space="preserve"> culture</w:t>
      </w:r>
      <w:r w:rsidRPr="00497376">
        <w:rPr>
          <w:rFonts w:eastAsia="Times New Roman" w:cstheme="minorHAnsi"/>
          <w:sz w:val="24"/>
          <w:szCs w:val="24"/>
          <w14:ligatures w14:val="none"/>
        </w:rPr>
        <w:t xml:space="preserve">. </w:t>
      </w:r>
      <w:hyperlink r:id="rId10" w:tgtFrame="_blank" w:history="1">
        <w:r w:rsidRPr="00497376">
          <w:rPr>
            <w:rFonts w:eastAsia="Times New Roman" w:cstheme="minorHAnsi"/>
            <w:color w:val="0000FF"/>
            <w:sz w:val="24"/>
            <w:szCs w:val="24"/>
            <w:u w:val="single"/>
            <w14:ligatures w14:val="none"/>
          </w:rPr>
          <w:t>https://www.stemcell.com/troubleshooting</w:t>
        </w:r>
        <w:r w:rsidR="0003708B" w:rsidRPr="00497376">
          <w:rPr>
            <w:rFonts w:eastAsia="Times New Roman" w:cstheme="minorHAnsi"/>
            <w:color w:val="0000FF"/>
            <w:sz w:val="24"/>
            <w:szCs w:val="24"/>
            <w:u w:val="single"/>
            <w14:ligatures w14:val="none"/>
          </w:rPr>
          <w:t xml:space="preserve"> </w:t>
        </w:r>
        <w:r w:rsidRPr="00497376">
          <w:rPr>
            <w:rFonts w:eastAsia="Times New Roman" w:cstheme="minorHAnsi"/>
            <w:color w:val="0000FF"/>
            <w:sz w:val="24"/>
            <w:szCs w:val="24"/>
            <w:u w:val="single"/>
            <w14:ligatures w14:val="none"/>
          </w:rPr>
          <w:t>tips</w:t>
        </w:r>
        <w:r w:rsidR="0003708B" w:rsidRPr="00497376">
          <w:rPr>
            <w:rFonts w:eastAsia="Times New Roman" w:cstheme="minorHAnsi"/>
            <w:color w:val="0000FF"/>
            <w:sz w:val="24"/>
            <w:szCs w:val="24"/>
            <w:u w:val="single"/>
            <w14:ligatures w14:val="none"/>
          </w:rPr>
          <w:t xml:space="preserve"> </w:t>
        </w:r>
        <w:r w:rsidRPr="00497376">
          <w:rPr>
            <w:rFonts w:eastAsia="Times New Roman" w:cstheme="minorHAnsi"/>
            <w:color w:val="0000FF"/>
            <w:sz w:val="24"/>
            <w:szCs w:val="24"/>
            <w:u w:val="single"/>
            <w14:ligatures w14:val="none"/>
          </w:rPr>
          <w:t>for</w:t>
        </w:r>
        <w:r w:rsidR="0003708B" w:rsidRPr="00497376">
          <w:rPr>
            <w:rFonts w:eastAsia="Times New Roman" w:cstheme="minorHAnsi"/>
            <w:color w:val="0000FF"/>
            <w:sz w:val="24"/>
            <w:szCs w:val="24"/>
            <w:u w:val="single"/>
            <w14:ligatures w14:val="none"/>
          </w:rPr>
          <w:t xml:space="preserve"> </w:t>
        </w:r>
        <w:proofErr w:type="spellStart"/>
        <w:r w:rsidRPr="00497376">
          <w:rPr>
            <w:rFonts w:eastAsia="Times New Roman" w:cstheme="minorHAnsi"/>
            <w:color w:val="0000FF"/>
            <w:sz w:val="24"/>
            <w:szCs w:val="24"/>
            <w:u w:val="single"/>
            <w14:ligatures w14:val="none"/>
          </w:rPr>
          <w:t>hpsc</w:t>
        </w:r>
        <w:proofErr w:type="spellEnd"/>
        <w:r w:rsidR="0003708B" w:rsidRPr="00497376">
          <w:rPr>
            <w:rFonts w:eastAsia="Times New Roman" w:cstheme="minorHAnsi"/>
            <w:color w:val="0000FF"/>
            <w:sz w:val="24"/>
            <w:szCs w:val="24"/>
            <w:u w:val="single"/>
            <w14:ligatures w14:val="none"/>
          </w:rPr>
          <w:t xml:space="preserve"> </w:t>
        </w:r>
        <w:r w:rsidRPr="00497376">
          <w:rPr>
            <w:rFonts w:eastAsia="Times New Roman" w:cstheme="minorHAnsi"/>
            <w:color w:val="0000FF"/>
            <w:sz w:val="24"/>
            <w:szCs w:val="24"/>
            <w:u w:val="single"/>
            <w14:ligatures w14:val="none"/>
          </w:rPr>
          <w:t>culture.html</w:t>
        </w:r>
      </w:hyperlink>
    </w:p>
    <w:p w14:paraId="0C26504B" w14:textId="06F1F816" w:rsidR="00934B6F" w:rsidRPr="00497376" w:rsidRDefault="00934B6F"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Straits Research. (n.d.). </w:t>
      </w:r>
      <w:r w:rsidRPr="00497376">
        <w:rPr>
          <w:rFonts w:eastAsia="Times New Roman" w:cstheme="minorHAnsi"/>
          <w:i/>
          <w:iCs/>
          <w:sz w:val="24"/>
          <w:szCs w:val="24"/>
          <w14:ligatures w14:val="none"/>
        </w:rPr>
        <w:t>Global induced pluripotent stem cell market report</w:t>
      </w:r>
      <w:r w:rsidRPr="00497376">
        <w:rPr>
          <w:rFonts w:eastAsia="Times New Roman" w:cstheme="minorHAnsi"/>
          <w:sz w:val="24"/>
          <w:szCs w:val="24"/>
          <w14:ligatures w14:val="none"/>
        </w:rPr>
        <w:t xml:space="preserve">. </w:t>
      </w:r>
      <w:hyperlink r:id="rId11" w:tgtFrame="_blank" w:history="1">
        <w:r w:rsidRPr="00497376">
          <w:rPr>
            <w:rFonts w:eastAsia="Times New Roman" w:cstheme="minorHAnsi"/>
            <w:color w:val="0000FF"/>
            <w:sz w:val="24"/>
            <w:szCs w:val="24"/>
            <w:u w:val="single"/>
            <w14:ligatures w14:val="none"/>
          </w:rPr>
          <w:t>https://straitsresearch.com</w:t>
        </w:r>
      </w:hyperlink>
    </w:p>
    <w:p w14:paraId="3E4EE191" w14:textId="77777777" w:rsidR="00497376" w:rsidRPr="00497376" w:rsidRDefault="00934B6F"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Towards Healthcare. (n.d.). </w:t>
      </w:r>
      <w:r w:rsidRPr="00497376">
        <w:rPr>
          <w:rFonts w:eastAsia="Times New Roman" w:cstheme="minorHAnsi"/>
          <w:i/>
          <w:iCs/>
          <w:sz w:val="24"/>
          <w:szCs w:val="24"/>
          <w14:ligatures w14:val="none"/>
        </w:rPr>
        <w:t>Regenerative medicine and cell therapy market outlook</w:t>
      </w:r>
      <w:r w:rsidRPr="00497376">
        <w:rPr>
          <w:rFonts w:eastAsia="Times New Roman" w:cstheme="minorHAnsi"/>
          <w:sz w:val="24"/>
          <w:szCs w:val="24"/>
          <w14:ligatures w14:val="none"/>
        </w:rPr>
        <w:t xml:space="preserve">. </w:t>
      </w:r>
      <w:hyperlink r:id="rId12" w:tgtFrame="_blank" w:history="1">
        <w:r w:rsidRPr="00497376">
          <w:rPr>
            <w:rFonts w:eastAsia="Times New Roman" w:cstheme="minorHAnsi"/>
            <w:color w:val="0000FF"/>
            <w:sz w:val="24"/>
            <w:szCs w:val="24"/>
            <w:u w:val="single"/>
            <w14:ligatures w14:val="none"/>
          </w:rPr>
          <w:t>https://www.towardshealthcare.com</w:t>
        </w:r>
      </w:hyperlink>
    </w:p>
    <w:p w14:paraId="34E31541" w14:textId="39C7BA9D" w:rsidR="00934B6F" w:rsidRPr="00497376" w:rsidRDefault="00497376" w:rsidP="00497376">
      <w:pPr>
        <w:pStyle w:val="ListParagraph"/>
        <w:numPr>
          <w:ilvl w:val="0"/>
          <w:numId w:val="14"/>
        </w:numPr>
        <w:spacing w:before="100" w:beforeAutospacing="1" w:after="100" w:afterAutospacing="1" w:line="240" w:lineRule="auto"/>
        <w:jc w:val="left"/>
        <w:rPr>
          <w:rFonts w:eastAsia="Times New Roman" w:cstheme="minorHAnsi"/>
          <w:sz w:val="24"/>
          <w:szCs w:val="24"/>
          <w14:ligatures w14:val="none"/>
        </w:rPr>
      </w:pPr>
      <w:r w:rsidRPr="00497376">
        <w:rPr>
          <w:rFonts w:eastAsia="Times New Roman" w:cstheme="minorHAnsi"/>
          <w:sz w:val="24"/>
          <w:szCs w:val="24"/>
          <w14:ligatures w14:val="none"/>
        </w:rPr>
        <w:t xml:space="preserve">Monash University Library. (2023). </w:t>
      </w:r>
      <w:r w:rsidRPr="00497376">
        <w:rPr>
          <w:rFonts w:eastAsia="Times New Roman" w:cstheme="minorHAnsi"/>
          <w:i/>
          <w:iCs/>
          <w:sz w:val="24"/>
          <w:szCs w:val="24"/>
          <w14:ligatures w14:val="none"/>
        </w:rPr>
        <w:t>APA 7th referencing guide: Getting started with in text citation</w:t>
      </w:r>
      <w:r w:rsidRPr="00497376">
        <w:rPr>
          <w:rFonts w:eastAsia="Times New Roman" w:cstheme="minorHAnsi"/>
          <w:sz w:val="24"/>
          <w:szCs w:val="24"/>
          <w14:ligatures w14:val="none"/>
        </w:rPr>
        <w:t xml:space="preserve">. </w:t>
      </w:r>
      <w:hyperlink r:id="rId13" w:tgtFrame="_blank" w:history="1">
        <w:r w:rsidRPr="00497376">
          <w:rPr>
            <w:rFonts w:eastAsia="Times New Roman" w:cstheme="minorHAnsi"/>
            <w:color w:val="0000FF"/>
            <w:sz w:val="24"/>
            <w:szCs w:val="24"/>
            <w:u w:val="single"/>
            <w14:ligatures w14:val="none"/>
          </w:rPr>
          <w:t>https://guides.lib.monash.edu/apa 7/getting started/in text citation</w:t>
        </w:r>
      </w:hyperlink>
    </w:p>
    <w:p w14:paraId="34B05E2E" w14:textId="77777777" w:rsidR="002C1944" w:rsidRPr="00934B6F" w:rsidRDefault="002C1944" w:rsidP="004977EB">
      <w:pPr>
        <w:rPr>
          <w:rFonts w:cstheme="minorHAnsi"/>
        </w:rPr>
      </w:pPr>
    </w:p>
    <w:sectPr w:rsidR="002C1944" w:rsidRPr="00934B6F" w:rsidSect="00BA7E06">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3C4"/>
    <w:multiLevelType w:val="hybridMultilevel"/>
    <w:tmpl w:val="8602949A"/>
    <w:lvl w:ilvl="0" w:tplc="84C2A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8436D"/>
    <w:multiLevelType w:val="multilevel"/>
    <w:tmpl w:val="B98A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4057"/>
    <w:multiLevelType w:val="multilevel"/>
    <w:tmpl w:val="2990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559BB"/>
    <w:multiLevelType w:val="multilevel"/>
    <w:tmpl w:val="5FD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4904"/>
    <w:multiLevelType w:val="multilevel"/>
    <w:tmpl w:val="B23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470E6"/>
    <w:multiLevelType w:val="multilevel"/>
    <w:tmpl w:val="040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8431D"/>
    <w:multiLevelType w:val="multilevel"/>
    <w:tmpl w:val="D3FE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30687"/>
    <w:multiLevelType w:val="hybridMultilevel"/>
    <w:tmpl w:val="CDB6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50B3E"/>
    <w:multiLevelType w:val="multilevel"/>
    <w:tmpl w:val="092E9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1153A"/>
    <w:multiLevelType w:val="multilevel"/>
    <w:tmpl w:val="091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121C0"/>
    <w:multiLevelType w:val="multilevel"/>
    <w:tmpl w:val="04D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159F6"/>
    <w:multiLevelType w:val="multilevel"/>
    <w:tmpl w:val="F4AA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51E85"/>
    <w:multiLevelType w:val="multilevel"/>
    <w:tmpl w:val="205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E2D67"/>
    <w:multiLevelType w:val="multilevel"/>
    <w:tmpl w:val="FE00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994870">
    <w:abstractNumId w:val="9"/>
  </w:num>
  <w:num w:numId="2" w16cid:durableId="56902748">
    <w:abstractNumId w:val="8"/>
  </w:num>
  <w:num w:numId="3" w16cid:durableId="1542935021">
    <w:abstractNumId w:val="6"/>
  </w:num>
  <w:num w:numId="4" w16cid:durableId="629093129">
    <w:abstractNumId w:val="5"/>
  </w:num>
  <w:num w:numId="5" w16cid:durableId="245966625">
    <w:abstractNumId w:val="2"/>
  </w:num>
  <w:num w:numId="6" w16cid:durableId="638805439">
    <w:abstractNumId w:val="11"/>
  </w:num>
  <w:num w:numId="7" w16cid:durableId="1891528377">
    <w:abstractNumId w:val="4"/>
  </w:num>
  <w:num w:numId="8" w16cid:durableId="1405645258">
    <w:abstractNumId w:val="12"/>
  </w:num>
  <w:num w:numId="9" w16cid:durableId="1066102927">
    <w:abstractNumId w:val="3"/>
  </w:num>
  <w:num w:numId="10" w16cid:durableId="2136672592">
    <w:abstractNumId w:val="10"/>
  </w:num>
  <w:num w:numId="11" w16cid:durableId="624047587">
    <w:abstractNumId w:val="1"/>
  </w:num>
  <w:num w:numId="12" w16cid:durableId="562178878">
    <w:abstractNumId w:val="13"/>
  </w:num>
  <w:num w:numId="13" w16cid:durableId="2139450667">
    <w:abstractNumId w:val="7"/>
  </w:num>
  <w:num w:numId="14" w16cid:durableId="84216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EB"/>
    <w:rsid w:val="0003708B"/>
    <w:rsid w:val="00056DEF"/>
    <w:rsid w:val="000730E2"/>
    <w:rsid w:val="00075F84"/>
    <w:rsid w:val="00081A68"/>
    <w:rsid w:val="00081E1D"/>
    <w:rsid w:val="000D5897"/>
    <w:rsid w:val="001842AC"/>
    <w:rsid w:val="002A0833"/>
    <w:rsid w:val="002A780A"/>
    <w:rsid w:val="002B3D2B"/>
    <w:rsid w:val="002C1944"/>
    <w:rsid w:val="002F7559"/>
    <w:rsid w:val="00334E74"/>
    <w:rsid w:val="003875DD"/>
    <w:rsid w:val="003E5EF6"/>
    <w:rsid w:val="003F6256"/>
    <w:rsid w:val="00497376"/>
    <w:rsid w:val="004977EB"/>
    <w:rsid w:val="005066D0"/>
    <w:rsid w:val="00514DCF"/>
    <w:rsid w:val="00575A74"/>
    <w:rsid w:val="005A79ED"/>
    <w:rsid w:val="005D79E7"/>
    <w:rsid w:val="00692BAD"/>
    <w:rsid w:val="00697E53"/>
    <w:rsid w:val="006E7718"/>
    <w:rsid w:val="007177A6"/>
    <w:rsid w:val="00733775"/>
    <w:rsid w:val="007A2E4E"/>
    <w:rsid w:val="007C726C"/>
    <w:rsid w:val="007C7CD6"/>
    <w:rsid w:val="007D6125"/>
    <w:rsid w:val="007E6741"/>
    <w:rsid w:val="00854064"/>
    <w:rsid w:val="008576F9"/>
    <w:rsid w:val="008B7A67"/>
    <w:rsid w:val="00934B6F"/>
    <w:rsid w:val="009570FE"/>
    <w:rsid w:val="00984252"/>
    <w:rsid w:val="00A23053"/>
    <w:rsid w:val="00A775FB"/>
    <w:rsid w:val="00B05AB8"/>
    <w:rsid w:val="00B81924"/>
    <w:rsid w:val="00BA7E06"/>
    <w:rsid w:val="00BD43CF"/>
    <w:rsid w:val="00C62D2D"/>
    <w:rsid w:val="00C845F7"/>
    <w:rsid w:val="00CD241E"/>
    <w:rsid w:val="00D06709"/>
    <w:rsid w:val="00D33818"/>
    <w:rsid w:val="00D35A96"/>
    <w:rsid w:val="00DB06C2"/>
    <w:rsid w:val="00DE4F9F"/>
    <w:rsid w:val="00E0120B"/>
    <w:rsid w:val="00E633E9"/>
    <w:rsid w:val="00EC3B3B"/>
    <w:rsid w:val="00F13E71"/>
    <w:rsid w:val="00F25D04"/>
    <w:rsid w:val="00F851E6"/>
    <w:rsid w:val="00F93564"/>
    <w:rsid w:val="00FB7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52CC"/>
  <w15:chartTrackingRefBased/>
  <w15:docId w15:val="{659226E3-B12F-42B3-972E-91914F67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6F"/>
    <w:pPr>
      <w:spacing w:after="200" w:line="276" w:lineRule="auto"/>
    </w:pPr>
  </w:style>
  <w:style w:type="paragraph" w:styleId="Heading1">
    <w:name w:val="heading 1"/>
    <w:basedOn w:val="Normal"/>
    <w:next w:val="Normal"/>
    <w:link w:val="Heading1Char"/>
    <w:uiPriority w:val="9"/>
    <w:qFormat/>
    <w:rsid w:val="004977EB"/>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semiHidden/>
    <w:unhideWhenUsed/>
    <w:qFormat/>
    <w:rsid w:val="004977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77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77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77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7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EB"/>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semiHidden/>
    <w:rsid w:val="004977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77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77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77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7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EB"/>
    <w:rPr>
      <w:rFonts w:eastAsiaTheme="majorEastAsia" w:cstheme="majorBidi"/>
      <w:color w:val="272727" w:themeColor="text1" w:themeTint="D8"/>
    </w:rPr>
  </w:style>
  <w:style w:type="paragraph" w:styleId="Title">
    <w:name w:val="Title"/>
    <w:basedOn w:val="Normal"/>
    <w:next w:val="Normal"/>
    <w:link w:val="TitleChar"/>
    <w:uiPriority w:val="10"/>
    <w:qFormat/>
    <w:rsid w:val="00497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77EB"/>
    <w:rPr>
      <w:i/>
      <w:iCs/>
      <w:color w:val="404040" w:themeColor="text1" w:themeTint="BF"/>
    </w:rPr>
  </w:style>
  <w:style w:type="paragraph" w:styleId="ListParagraph">
    <w:name w:val="List Paragraph"/>
    <w:basedOn w:val="Normal"/>
    <w:uiPriority w:val="34"/>
    <w:qFormat/>
    <w:rsid w:val="004977EB"/>
    <w:pPr>
      <w:ind w:left="720"/>
      <w:contextualSpacing/>
    </w:pPr>
  </w:style>
  <w:style w:type="character" w:styleId="IntenseEmphasis">
    <w:name w:val="Intense Emphasis"/>
    <w:basedOn w:val="DefaultParagraphFont"/>
    <w:uiPriority w:val="21"/>
    <w:qFormat/>
    <w:rsid w:val="004977EB"/>
    <w:rPr>
      <w:i/>
      <w:iCs/>
      <w:color w:val="365F91" w:themeColor="accent1" w:themeShade="BF"/>
    </w:rPr>
  </w:style>
  <w:style w:type="paragraph" w:styleId="IntenseQuote">
    <w:name w:val="Intense Quote"/>
    <w:basedOn w:val="Normal"/>
    <w:next w:val="Normal"/>
    <w:link w:val="IntenseQuoteChar"/>
    <w:uiPriority w:val="30"/>
    <w:qFormat/>
    <w:rsid w:val="004977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77EB"/>
    <w:rPr>
      <w:i/>
      <w:iCs/>
      <w:color w:val="365F91" w:themeColor="accent1" w:themeShade="BF"/>
    </w:rPr>
  </w:style>
  <w:style w:type="character" w:styleId="IntenseReference">
    <w:name w:val="Intense Reference"/>
    <w:basedOn w:val="DefaultParagraphFont"/>
    <w:uiPriority w:val="32"/>
    <w:qFormat/>
    <w:rsid w:val="004977EB"/>
    <w:rPr>
      <w:b/>
      <w:bCs/>
      <w:smallCaps/>
      <w:color w:val="365F91" w:themeColor="accent1" w:themeShade="BF"/>
      <w:spacing w:val="5"/>
    </w:rPr>
  </w:style>
  <w:style w:type="character" w:styleId="Hyperlink">
    <w:name w:val="Hyperlink"/>
    <w:basedOn w:val="DefaultParagraphFont"/>
    <w:uiPriority w:val="99"/>
    <w:unhideWhenUsed/>
    <w:rsid w:val="004977EB"/>
    <w:rPr>
      <w:color w:val="0000FF" w:themeColor="hyperlink"/>
      <w:u w:val="single"/>
    </w:rPr>
  </w:style>
  <w:style w:type="character" w:styleId="UnresolvedMention">
    <w:name w:val="Unresolved Mention"/>
    <w:basedOn w:val="DefaultParagraphFont"/>
    <w:uiPriority w:val="99"/>
    <w:semiHidden/>
    <w:unhideWhenUsed/>
    <w:rsid w:val="004977EB"/>
    <w:rPr>
      <w:color w:val="605E5C"/>
      <w:shd w:val="clear" w:color="auto" w:fill="E1DFDD"/>
    </w:rPr>
  </w:style>
  <w:style w:type="character" w:styleId="FollowedHyperlink">
    <w:name w:val="FollowedHyperlink"/>
    <w:basedOn w:val="DefaultParagraphFont"/>
    <w:uiPriority w:val="99"/>
    <w:semiHidden/>
    <w:unhideWhenUsed/>
    <w:rsid w:val="009842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ble.dev/projects/eec6cf0f-9733-4354-abc8-05b8333c2554?magic_link=mc_b9c5f656-b853-4ff5-9598-7412e3dd2658" TargetMode="External"/><Relationship Id="rId13" Type="http://schemas.openxmlformats.org/officeDocument/2006/relationships/hyperlink" Target="https://guides.lib.monash.edu/apa-7/getting-started/in-text-citation" TargetMode="External"/><Relationship Id="rId3" Type="http://schemas.openxmlformats.org/officeDocument/2006/relationships/settings" Target="settings.xml"/><Relationship Id="rId7" Type="http://schemas.openxmlformats.org/officeDocument/2006/relationships/hyperlink" Target="https://ipsc-maintenance-challenges" TargetMode="External"/><Relationship Id="rId12" Type="http://schemas.openxmlformats.org/officeDocument/2006/relationships/hyperlink" Target="https://www.towardshealthc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procell.com/blog/key-challenges-in-clinical-ipsc-applications-how-reprocell-helps-you-succeed" TargetMode="External"/><Relationship Id="rId11" Type="http://schemas.openxmlformats.org/officeDocument/2006/relationships/hyperlink" Target="https://straitsresearch.com" TargetMode="External"/><Relationship Id="rId5" Type="http://schemas.openxmlformats.org/officeDocument/2006/relationships/hyperlink" Target="https://www.biospace.com" TargetMode="External"/><Relationship Id="rId15" Type="http://schemas.openxmlformats.org/officeDocument/2006/relationships/theme" Target="theme/theme1.xml"/><Relationship Id="rId10" Type="http://schemas.openxmlformats.org/officeDocument/2006/relationships/hyperlink" Target="https://www.stemcell.com/troubleshooting-tips-for-hpsc-culture.html" TargetMode="External"/><Relationship Id="rId4" Type="http://schemas.openxmlformats.org/officeDocument/2006/relationships/webSettings" Target="webSettings.xml"/><Relationship Id="rId9" Type="http://schemas.openxmlformats.org/officeDocument/2006/relationships/hyperlink" Target="https://www.google.com/search?q=https://lovable.dev/projects/eec6cf0f-9733-4354-abc8-05b8333c25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1565</TotalTime>
  <Pages>4</Pages>
  <Words>1211</Words>
  <Characters>6905</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Final Report: CellGuard AI </vt:lpstr>
      <vt:lpstr>Date: April 22, 2026</vt:lpstr>
      <vt:lpstr>Executive Summary</vt:lpstr>
      <vt:lpstr>2. The Designer’s Journey &amp; Validation</vt:lpstr>
      <vt:lpstr>Pain Points &amp; ROI:</vt:lpstr>
      <vt:lpstr>Market Positioning &amp; Competitor Analysis:</vt:lpstr>
      <vt:lpstr>3. Technical Specifications &amp; System Architecture</vt:lpstr>
      <vt:lpstr>4. Business Impact and Value Propositions</vt:lpstr>
      <vt:lpstr>Strategic Roadmap to Commercialization</vt:lpstr>
      <vt:lpstr>Acknowledgements </vt:lpstr>
      <vt:lpstr>References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Zinab Omer Rahmtallah Idris</dc:creator>
  <cp:keywords/>
  <dc:description/>
  <cp:lastModifiedBy>Zinab Omer Rahmtallah Idris</cp:lastModifiedBy>
  <cp:revision>2</cp:revision>
  <dcterms:created xsi:type="dcterms:W3CDTF">2026-04-22T14:12:00Z</dcterms:created>
  <dcterms:modified xsi:type="dcterms:W3CDTF">2026-04-28T08:25:00Z</dcterms:modified>
</cp:coreProperties>
</file>