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D18C" w14:textId="345F5911" w:rsidR="009A6B5F" w:rsidRPr="009A6B5F" w:rsidRDefault="009A6B5F">
      <w:pPr>
        <w:rPr>
          <w:b/>
          <w:bCs/>
          <w:sz w:val="28"/>
          <w:szCs w:val="32"/>
        </w:rPr>
      </w:pPr>
      <w:r w:rsidRPr="009A6B5F">
        <w:rPr>
          <w:b/>
          <w:bCs/>
          <w:sz w:val="28"/>
          <w:szCs w:val="32"/>
        </w:rPr>
        <w:t>Additional report</w:t>
      </w:r>
    </w:p>
    <w:p w14:paraId="20E016B5" w14:textId="23688DC2" w:rsidR="009A6B5F" w:rsidRDefault="009A6B5F" w:rsidP="009A6B5F">
      <w:pPr>
        <w:pStyle w:val="ListParagraph"/>
        <w:numPr>
          <w:ilvl w:val="0"/>
          <w:numId w:val="1"/>
        </w:numPr>
      </w:pPr>
      <w:proofErr w:type="spellStart"/>
      <w:r w:rsidRPr="009A6B5F">
        <w:t>NutriTrack</w:t>
      </w:r>
      <w:proofErr w:type="spellEnd"/>
      <w:r w:rsidRPr="009A6B5F">
        <w:t xml:space="preserve"> </w:t>
      </w:r>
      <w:r>
        <w:t>w</w:t>
      </w:r>
      <w:r w:rsidRPr="009A6B5F">
        <w:t>orkflow Integration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3079"/>
        <w:gridCol w:w="3221"/>
        <w:gridCol w:w="3330"/>
      </w:tblGrid>
      <w:tr w:rsidR="009A6B5F" w14:paraId="61C2A499" w14:textId="77777777" w:rsidTr="009A6B5F">
        <w:tc>
          <w:tcPr>
            <w:tcW w:w="3079" w:type="dxa"/>
          </w:tcPr>
          <w:p w14:paraId="1BE52B56" w14:textId="497A1CC3" w:rsidR="009A6B5F" w:rsidRDefault="009A6B5F" w:rsidP="009A6B5F">
            <w:pPr>
              <w:pStyle w:val="ListParagraph"/>
              <w:ind w:left="0"/>
            </w:pPr>
            <w:r w:rsidRPr="009A6B5F">
              <w:t>Stage</w:t>
            </w:r>
          </w:p>
        </w:tc>
        <w:tc>
          <w:tcPr>
            <w:tcW w:w="3221" w:type="dxa"/>
          </w:tcPr>
          <w:p w14:paraId="41BC4621" w14:textId="2B9E2566" w:rsidR="009A6B5F" w:rsidRPr="009A6B5F" w:rsidRDefault="009A6B5F" w:rsidP="009A6B5F">
            <w:pPr>
              <w:pStyle w:val="ListParagraph"/>
              <w:ind w:left="0"/>
            </w:pPr>
            <w:r w:rsidRPr="009A6B5F">
              <w:t>Action &amp; Integration</w:t>
            </w:r>
          </w:p>
        </w:tc>
        <w:tc>
          <w:tcPr>
            <w:tcW w:w="3330" w:type="dxa"/>
          </w:tcPr>
          <w:p w14:paraId="6EDB2931" w14:textId="5828F6A0" w:rsidR="009A6B5F" w:rsidRDefault="009A6B5F" w:rsidP="009A6B5F">
            <w:pPr>
              <w:pStyle w:val="ListParagraph"/>
              <w:ind w:left="0"/>
            </w:pPr>
            <w:r w:rsidRPr="009A6B5F">
              <w:t>Tool Function</w:t>
            </w:r>
          </w:p>
        </w:tc>
      </w:tr>
      <w:tr w:rsidR="009A6B5F" w14:paraId="629EDB2A" w14:textId="77777777" w:rsidTr="009A6B5F">
        <w:tc>
          <w:tcPr>
            <w:tcW w:w="3079" w:type="dxa"/>
          </w:tcPr>
          <w:p w14:paraId="03316FBB" w14:textId="2543CDA4" w:rsidR="009A6B5F" w:rsidRDefault="009A6B5F" w:rsidP="009A6B5F">
            <w:pPr>
              <w:pStyle w:val="ListParagraph"/>
              <w:ind w:left="0"/>
            </w:pPr>
            <w:r w:rsidRPr="009A6B5F">
              <w:t>Clinical Assessment</w:t>
            </w:r>
          </w:p>
        </w:tc>
        <w:tc>
          <w:tcPr>
            <w:tcW w:w="3221" w:type="dxa"/>
          </w:tcPr>
          <w:p w14:paraId="1A980CDD" w14:textId="0F166FFD" w:rsidR="009A6B5F" w:rsidRDefault="009A6B5F" w:rsidP="009A6B5F">
            <w:pPr>
              <w:pStyle w:val="ListParagraph"/>
              <w:ind w:left="0"/>
            </w:pPr>
            <w:r w:rsidRPr="009A6B5F">
              <w:t xml:space="preserve">The </w:t>
            </w:r>
            <w:r>
              <w:t>physician</w:t>
            </w:r>
            <w:r w:rsidRPr="009A6B5F">
              <w:t xml:space="preserve"> </w:t>
            </w:r>
            <w:proofErr w:type="gramStart"/>
            <w:r>
              <w:t>evaluate</w:t>
            </w:r>
            <w:proofErr w:type="gramEnd"/>
            <w:r>
              <w:t xml:space="preserve"> </w:t>
            </w:r>
            <w:proofErr w:type="gramStart"/>
            <w:r>
              <w:t>patient</w:t>
            </w:r>
            <w:proofErr w:type="gramEnd"/>
            <w:r>
              <w:t xml:space="preserve"> </w:t>
            </w:r>
            <w:r w:rsidRPr="009A6B5F">
              <w:t xml:space="preserve">and sets specific energy and protein </w:t>
            </w:r>
            <w:proofErr w:type="gramStart"/>
            <w:r w:rsidRPr="009A6B5F">
              <w:t>targets.</w:t>
            </w:r>
            <w:r w:rsidR="008620FA">
              <w:t>(</w:t>
            </w:r>
            <w:proofErr w:type="gramEnd"/>
            <w:r w:rsidR="008620FA">
              <w:t>1)</w:t>
            </w:r>
          </w:p>
        </w:tc>
        <w:tc>
          <w:tcPr>
            <w:tcW w:w="3330" w:type="dxa"/>
          </w:tcPr>
          <w:p w14:paraId="5632290B" w14:textId="6D866E4B" w:rsidR="009A6B5F" w:rsidRDefault="009A6B5F" w:rsidP="009A6B5F">
            <w:pPr>
              <w:pStyle w:val="ListParagraph"/>
              <w:ind w:left="0"/>
            </w:pPr>
            <w:r w:rsidRPr="009A6B5F">
              <w:rPr>
                <w:b/>
                <w:bCs/>
              </w:rPr>
              <w:t>Prescription Input</w:t>
            </w:r>
            <w:r w:rsidRPr="009A6B5F">
              <w:rPr>
                <w:b/>
                <w:bCs/>
              </w:rPr>
              <w:t>:</w:t>
            </w:r>
            <w:r>
              <w:t xml:space="preserve"> </w:t>
            </w:r>
            <w:r w:rsidRPr="009A6B5F">
              <w:t xml:space="preserve">Clinical data and targets are synced or manually </w:t>
            </w:r>
            <w:proofErr w:type="gramStart"/>
            <w:r w:rsidRPr="009A6B5F">
              <w:t>entered into</w:t>
            </w:r>
            <w:proofErr w:type="gramEnd"/>
            <w:r w:rsidRPr="009A6B5F">
              <w:t xml:space="preserve"> the </w:t>
            </w:r>
            <w:proofErr w:type="spellStart"/>
            <w:r w:rsidRPr="009A6B5F">
              <w:t>NutriTrack</w:t>
            </w:r>
            <w:proofErr w:type="spellEnd"/>
            <w:r w:rsidRPr="009A6B5F">
              <w:t xml:space="preserve"> professional interface.</w:t>
            </w:r>
          </w:p>
        </w:tc>
      </w:tr>
      <w:tr w:rsidR="009A6B5F" w14:paraId="292674F7" w14:textId="77777777" w:rsidTr="009A6B5F">
        <w:tc>
          <w:tcPr>
            <w:tcW w:w="3079" w:type="dxa"/>
          </w:tcPr>
          <w:p w14:paraId="034AB812" w14:textId="79C738A3" w:rsidR="009A6B5F" w:rsidRDefault="009A6B5F" w:rsidP="009A6B5F">
            <w:pPr>
              <w:pStyle w:val="ListParagraph"/>
              <w:ind w:left="0"/>
            </w:pPr>
            <w:r w:rsidRPr="009A6B5F">
              <w:t>Feed Customization</w:t>
            </w:r>
          </w:p>
        </w:tc>
        <w:tc>
          <w:tcPr>
            <w:tcW w:w="3221" w:type="dxa"/>
          </w:tcPr>
          <w:p w14:paraId="64844DE6" w14:textId="2D44C9D3" w:rsidR="009A6B5F" w:rsidRDefault="009A6B5F" w:rsidP="009A6B5F">
            <w:pPr>
              <w:pStyle w:val="ListParagraph"/>
              <w:ind w:left="0"/>
            </w:pPr>
            <w:r w:rsidRPr="009A6B5F">
              <w:t xml:space="preserve">Clinicians </w:t>
            </w:r>
            <w:r>
              <w:t xml:space="preserve">discuss with caregivers and </w:t>
            </w:r>
            <w:r w:rsidRPr="009A6B5F">
              <w:t>select the formula components.</w:t>
            </w:r>
          </w:p>
        </w:tc>
        <w:tc>
          <w:tcPr>
            <w:tcW w:w="3330" w:type="dxa"/>
          </w:tcPr>
          <w:p w14:paraId="42AD55B6" w14:textId="0E670B91" w:rsidR="009A6B5F" w:rsidRDefault="009A6B5F" w:rsidP="009A6B5F">
            <w:pPr>
              <w:pStyle w:val="ListParagraph"/>
              <w:ind w:left="0"/>
            </w:pPr>
            <w:r w:rsidRPr="009A6B5F">
              <w:rPr>
                <w:b/>
                <w:bCs/>
              </w:rPr>
              <w:t>Auto-Calculation:</w:t>
            </w:r>
            <w:r w:rsidRPr="009A6B5F">
              <w:t xml:space="preserve"> AI calculates the precise volume and rate required to meet the prescribed</w:t>
            </w:r>
          </w:p>
        </w:tc>
      </w:tr>
      <w:tr w:rsidR="009A6B5F" w14:paraId="7B709EA5" w14:textId="77777777" w:rsidTr="009A6B5F">
        <w:tc>
          <w:tcPr>
            <w:tcW w:w="3079" w:type="dxa"/>
          </w:tcPr>
          <w:p w14:paraId="4C6EBC7E" w14:textId="695F0D4C" w:rsidR="009A6B5F" w:rsidRPr="009A6B5F" w:rsidRDefault="009A6B5F" w:rsidP="009A6B5F">
            <w:pPr>
              <w:pStyle w:val="ListParagraph"/>
              <w:ind w:left="0"/>
            </w:pPr>
            <w:r w:rsidRPr="009A6B5F">
              <w:t>Caregiver Onboarding</w:t>
            </w:r>
          </w:p>
        </w:tc>
        <w:tc>
          <w:tcPr>
            <w:tcW w:w="3221" w:type="dxa"/>
          </w:tcPr>
          <w:p w14:paraId="4F42139A" w14:textId="29C03E45" w:rsidR="009A6B5F" w:rsidRPr="009A6B5F" w:rsidRDefault="009A6B5F" w:rsidP="009A6B5F">
            <w:pPr>
              <w:pStyle w:val="ListParagraph"/>
              <w:ind w:left="0"/>
            </w:pPr>
            <w:r w:rsidRPr="009A6B5F">
              <w:t xml:space="preserve">The caregiver receives a QR code or link to access the patient-specific profile on the </w:t>
            </w:r>
            <w:proofErr w:type="spellStart"/>
            <w:r w:rsidRPr="009A6B5F">
              <w:t>NutriTrack</w:t>
            </w:r>
            <w:proofErr w:type="spellEnd"/>
            <w:r w:rsidRPr="009A6B5F">
              <w:t xml:space="preserve"> app.</w:t>
            </w:r>
          </w:p>
        </w:tc>
        <w:tc>
          <w:tcPr>
            <w:tcW w:w="3330" w:type="dxa"/>
          </w:tcPr>
          <w:p w14:paraId="34F6CF04" w14:textId="209523DE" w:rsidR="009A6B5F" w:rsidRPr="009A6B5F" w:rsidRDefault="008620FA" w:rsidP="009A6B5F">
            <w:pPr>
              <w:pStyle w:val="ListParagraph"/>
              <w:ind w:left="0"/>
            </w:pPr>
            <w:r w:rsidRPr="008620FA">
              <w:rPr>
                <w:b/>
                <w:bCs/>
              </w:rPr>
              <w:t>User Mapping:</w:t>
            </w:r>
            <w:r w:rsidRPr="008620FA">
              <w:t xml:space="preserve"> </w:t>
            </w:r>
            <w:r w:rsidR="009A6B5F" w:rsidRPr="009A6B5F">
              <w:t>Connects the professional prescription to the caregiver’s daily task list.</w:t>
            </w:r>
          </w:p>
        </w:tc>
      </w:tr>
      <w:tr w:rsidR="009A6B5F" w14:paraId="7DC01066" w14:textId="77777777" w:rsidTr="009A6B5F">
        <w:tc>
          <w:tcPr>
            <w:tcW w:w="3079" w:type="dxa"/>
          </w:tcPr>
          <w:p w14:paraId="0CFE6F4B" w14:textId="6021F61E" w:rsidR="009A6B5F" w:rsidRPr="009A6B5F" w:rsidRDefault="009A6B5F" w:rsidP="009A6B5F">
            <w:pPr>
              <w:pStyle w:val="ListParagraph"/>
              <w:ind w:left="0"/>
            </w:pPr>
            <w:r w:rsidRPr="009A6B5F">
              <w:t>Daily Administration</w:t>
            </w:r>
          </w:p>
        </w:tc>
        <w:tc>
          <w:tcPr>
            <w:tcW w:w="3221" w:type="dxa"/>
          </w:tcPr>
          <w:p w14:paraId="180053FC" w14:textId="31D6701E" w:rsidR="009A6B5F" w:rsidRPr="009A6B5F" w:rsidRDefault="009A6B5F" w:rsidP="009A6B5F">
            <w:pPr>
              <w:pStyle w:val="ListParagraph"/>
              <w:ind w:left="0"/>
            </w:pPr>
            <w:r w:rsidRPr="009A6B5F">
              <w:t>Caregivers log each feed session (volume, time, and any complications like gastric residual volume).</w:t>
            </w:r>
          </w:p>
        </w:tc>
        <w:tc>
          <w:tcPr>
            <w:tcW w:w="3330" w:type="dxa"/>
          </w:tcPr>
          <w:p w14:paraId="5FA2A5D0" w14:textId="4E048C4F" w:rsidR="009A6B5F" w:rsidRPr="009A6B5F" w:rsidRDefault="009A6B5F" w:rsidP="009A6B5F">
            <w:pPr>
              <w:pStyle w:val="ListParagraph"/>
              <w:ind w:left="0"/>
            </w:pPr>
            <w:r w:rsidRPr="009A6B5F">
              <w:rPr>
                <w:b/>
                <w:bCs/>
              </w:rPr>
              <w:t>Smart Reminders:</w:t>
            </w:r>
            <w:r w:rsidRPr="009A6B5F">
              <w:t xml:space="preserve"> The app sends push notifications to ensure feeding schedules are maintained, reducing the risk of underfeeding.</w:t>
            </w:r>
          </w:p>
        </w:tc>
      </w:tr>
      <w:tr w:rsidR="008620FA" w14:paraId="708B29AA" w14:textId="77777777" w:rsidTr="009A6B5F">
        <w:tc>
          <w:tcPr>
            <w:tcW w:w="3079" w:type="dxa"/>
          </w:tcPr>
          <w:p w14:paraId="78D373FE" w14:textId="24BA26E4" w:rsidR="008620FA" w:rsidRPr="009A6B5F" w:rsidRDefault="008620FA" w:rsidP="009A6B5F">
            <w:pPr>
              <w:pStyle w:val="ListParagraph"/>
              <w:ind w:left="0"/>
            </w:pPr>
            <w:r w:rsidRPr="008620FA">
              <w:t>Real-Time Tracking</w:t>
            </w:r>
          </w:p>
        </w:tc>
        <w:tc>
          <w:tcPr>
            <w:tcW w:w="3221" w:type="dxa"/>
          </w:tcPr>
          <w:p w14:paraId="6315C02C" w14:textId="3B1D9A36" w:rsidR="008620FA" w:rsidRPr="009A6B5F" w:rsidRDefault="008620FA" w:rsidP="009A6B5F">
            <w:pPr>
              <w:pStyle w:val="ListParagraph"/>
              <w:ind w:left="0"/>
            </w:pPr>
            <w:r w:rsidRPr="008620FA">
              <w:t>The app visualizes the "Nutritional Gap" (Actual vs. Prescribed Intake).</w:t>
            </w:r>
          </w:p>
        </w:tc>
        <w:tc>
          <w:tcPr>
            <w:tcW w:w="3330" w:type="dxa"/>
          </w:tcPr>
          <w:p w14:paraId="547A3D36" w14:textId="5F61AC40" w:rsidR="008620FA" w:rsidRPr="009A6B5F" w:rsidRDefault="008620FA" w:rsidP="009A6B5F">
            <w:pPr>
              <w:pStyle w:val="ListParagraph"/>
              <w:ind w:left="0"/>
              <w:rPr>
                <w:b/>
                <w:bCs/>
              </w:rPr>
            </w:pPr>
            <w:r w:rsidRPr="008620FA">
              <w:rPr>
                <w:b/>
                <w:bCs/>
              </w:rPr>
              <w:t>Compliance Monitoring</w:t>
            </w:r>
            <w:r w:rsidRPr="008620FA">
              <w:t xml:space="preserve">: AI flags if the patient is falling below 60% of their </w:t>
            </w:r>
            <w:proofErr w:type="gramStart"/>
            <w:r w:rsidRPr="008620FA">
              <w:t>target</w:t>
            </w:r>
            <w:r>
              <w:t>(</w:t>
            </w:r>
            <w:proofErr w:type="gramEnd"/>
            <w:r>
              <w:t>1)</w:t>
            </w:r>
          </w:p>
        </w:tc>
      </w:tr>
      <w:tr w:rsidR="008620FA" w14:paraId="1FA81FED" w14:textId="77777777" w:rsidTr="009A6B5F">
        <w:tc>
          <w:tcPr>
            <w:tcW w:w="3079" w:type="dxa"/>
          </w:tcPr>
          <w:p w14:paraId="4F3C5F2E" w14:textId="610432AA" w:rsidR="008620FA" w:rsidRPr="008620FA" w:rsidRDefault="008620FA" w:rsidP="009A6B5F">
            <w:pPr>
              <w:pStyle w:val="ListParagraph"/>
              <w:ind w:left="0"/>
            </w:pPr>
            <w:r w:rsidRPr="008620FA">
              <w:t>Remote Feedback</w:t>
            </w:r>
          </w:p>
        </w:tc>
        <w:tc>
          <w:tcPr>
            <w:tcW w:w="3221" w:type="dxa"/>
          </w:tcPr>
          <w:p w14:paraId="5A1C3D34" w14:textId="708AE218" w:rsidR="008620FA" w:rsidRPr="008620FA" w:rsidRDefault="008620FA" w:rsidP="009A6B5F">
            <w:pPr>
              <w:pStyle w:val="ListParagraph"/>
              <w:ind w:left="0"/>
            </w:pPr>
            <w:r w:rsidRPr="008620FA">
              <w:t>The recorded data is summarized into a weekly report for the physician’s review.</w:t>
            </w:r>
          </w:p>
        </w:tc>
        <w:tc>
          <w:tcPr>
            <w:tcW w:w="3330" w:type="dxa"/>
          </w:tcPr>
          <w:p w14:paraId="0864D766" w14:textId="3903CDF1" w:rsidR="008620FA" w:rsidRPr="008620FA" w:rsidRDefault="008620FA" w:rsidP="009A6B5F">
            <w:pPr>
              <w:pStyle w:val="ListParagraph"/>
              <w:ind w:left="0"/>
              <w:rPr>
                <w:b/>
                <w:bCs/>
              </w:rPr>
            </w:pPr>
            <w:r w:rsidRPr="008620FA">
              <w:rPr>
                <w:b/>
                <w:bCs/>
              </w:rPr>
              <w:t xml:space="preserve">Data Continuity: </w:t>
            </w:r>
            <w:r w:rsidRPr="008620FA">
              <w:t>Enables informed adjustments during follow-up visits without relying solely on manual diaries</w:t>
            </w:r>
          </w:p>
        </w:tc>
      </w:tr>
    </w:tbl>
    <w:p w14:paraId="15EF9660" w14:textId="77777777" w:rsidR="009A6B5F" w:rsidRDefault="009A6B5F" w:rsidP="009A6B5F">
      <w:pPr>
        <w:pStyle w:val="ListParagraph"/>
      </w:pPr>
    </w:p>
    <w:p w14:paraId="352F6BBF" w14:textId="2945B1AF" w:rsidR="008620FA" w:rsidRDefault="008620FA" w:rsidP="008620FA">
      <w:pPr>
        <w:pStyle w:val="ListParagraph"/>
        <w:numPr>
          <w:ilvl w:val="0"/>
          <w:numId w:val="1"/>
        </w:numPr>
      </w:pPr>
      <w:r>
        <w:t xml:space="preserve">Caregiver-Centric Design </w:t>
      </w:r>
    </w:p>
    <w:p w14:paraId="7A45CE66" w14:textId="5F8ACE52" w:rsidR="008620FA" w:rsidRDefault="008620FA" w:rsidP="009A6B5F">
      <w:pPr>
        <w:pStyle w:val="ListParagraph"/>
      </w:pPr>
      <w:r w:rsidRPr="008620FA">
        <w:t xml:space="preserve">We have updated the </w:t>
      </w:r>
      <w:proofErr w:type="spellStart"/>
      <w:r w:rsidRPr="008620FA">
        <w:t>NutriTrack</w:t>
      </w:r>
      <w:proofErr w:type="spellEnd"/>
      <w:r w:rsidRPr="008620FA">
        <w:t xml:space="preserve"> dashboard to include </w:t>
      </w:r>
      <w:r w:rsidR="00944D65">
        <w:t xml:space="preserve">how to use </w:t>
      </w:r>
      <w:r w:rsidR="00944D65" w:rsidRPr="008620FA">
        <w:t>infographics and</w:t>
      </w:r>
      <w:r w:rsidR="00944D65">
        <w:t xml:space="preserve"> add some infographic/icon at the input and output data</w:t>
      </w:r>
      <w:r w:rsidRPr="008620FA">
        <w:t xml:space="preserve"> ensuring that </w:t>
      </w:r>
      <w:r w:rsidR="00944D65">
        <w:t>the application</w:t>
      </w:r>
      <w:r w:rsidRPr="008620FA">
        <w:t xml:space="preserve"> is more accessible and easier for caregivers to interpret.</w:t>
      </w:r>
    </w:p>
    <w:p w14:paraId="74D152A2" w14:textId="77777777" w:rsidR="008620FA" w:rsidRDefault="008620FA" w:rsidP="009A6B5F">
      <w:pPr>
        <w:pStyle w:val="ListParagraph"/>
      </w:pPr>
    </w:p>
    <w:p w14:paraId="7278FD56" w14:textId="079042C1" w:rsidR="00944D65" w:rsidRDefault="00944D65" w:rsidP="009A6B5F">
      <w:pPr>
        <w:pStyle w:val="ListParagraph"/>
      </w:pPr>
      <w:r>
        <w:t>“How to use” tab</w:t>
      </w:r>
    </w:p>
    <w:p w14:paraId="6FB69B74" w14:textId="5BC61234" w:rsidR="008620FA" w:rsidRDefault="00944D65" w:rsidP="009A6B5F">
      <w:pPr>
        <w:pStyle w:val="ListParagraph"/>
      </w:pPr>
      <w:r>
        <w:rPr>
          <w:noProof/>
        </w:rPr>
        <w:lastRenderedPageBreak/>
        <w:drawing>
          <wp:inline distT="0" distB="0" distL="0" distR="0" wp14:anchorId="766E123B" wp14:editId="476CA066">
            <wp:extent cx="4407126" cy="4121362"/>
            <wp:effectExtent l="0" t="0" r="0" b="0"/>
            <wp:docPr id="68344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4510" name="Picture 683445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41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5479B" wp14:editId="358B40C3">
            <wp:extent cx="3718560" cy="2171721"/>
            <wp:effectExtent l="0" t="0" r="0" b="0"/>
            <wp:docPr id="7421755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75597" name="Picture 7421755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636" cy="218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9A14" w14:textId="77777777" w:rsidR="00944D65" w:rsidRDefault="00944D65" w:rsidP="009A6B5F">
      <w:pPr>
        <w:pStyle w:val="ListParagraph"/>
      </w:pPr>
    </w:p>
    <w:p w14:paraId="53FFBCDD" w14:textId="43542CE8" w:rsidR="00944D65" w:rsidRDefault="00944D65" w:rsidP="009A6B5F">
      <w:pPr>
        <w:pStyle w:val="ListParagraph"/>
      </w:pPr>
      <w:r>
        <w:t xml:space="preserve">Add infographic in </w:t>
      </w:r>
      <w:proofErr w:type="gramStart"/>
      <w:r>
        <w:t>other</w:t>
      </w:r>
      <w:proofErr w:type="gramEnd"/>
      <w:r>
        <w:t xml:space="preserve"> </w:t>
      </w:r>
      <w:proofErr w:type="gramStart"/>
      <w:r>
        <w:t>tab</w:t>
      </w:r>
      <w:proofErr w:type="gramEnd"/>
    </w:p>
    <w:p w14:paraId="62110CAF" w14:textId="01C3B840" w:rsidR="00944D65" w:rsidRDefault="00944D65" w:rsidP="009A6B5F">
      <w:pPr>
        <w:pStyle w:val="ListParagraph"/>
      </w:pPr>
      <w:r>
        <w:rPr>
          <w:noProof/>
        </w:rPr>
        <w:lastRenderedPageBreak/>
        <w:drawing>
          <wp:inline distT="0" distB="0" distL="0" distR="0" wp14:anchorId="6C2F80CB" wp14:editId="4BD84DC8">
            <wp:extent cx="3241091" cy="2305050"/>
            <wp:effectExtent l="0" t="0" r="0" b="0"/>
            <wp:docPr id="1873249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49497" name="Picture 18732494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568" cy="230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41A4C" wp14:editId="49C5C9FE">
            <wp:extent cx="3241040" cy="1578629"/>
            <wp:effectExtent l="0" t="0" r="0" b="2540"/>
            <wp:docPr id="5167871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87147" name="Picture 5167871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504" cy="157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801949" wp14:editId="6B7311F9">
            <wp:extent cx="3241040" cy="1978235"/>
            <wp:effectExtent l="0" t="0" r="0" b="3175"/>
            <wp:docPr id="8506829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82943" name="Picture 8506829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377" cy="19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83913" w14:textId="3A503A82" w:rsidR="00944D65" w:rsidRDefault="00CF491B" w:rsidP="00944D65">
      <w:pPr>
        <w:pStyle w:val="ListParagraph"/>
        <w:numPr>
          <w:ilvl w:val="0"/>
          <w:numId w:val="1"/>
        </w:numPr>
      </w:pPr>
      <w:r>
        <w:t>Competitor Analysis</w:t>
      </w:r>
    </w:p>
    <w:p w14:paraId="6D0ED7D2" w14:textId="357135B2" w:rsidR="0007500C" w:rsidRDefault="0007500C" w:rsidP="0007500C">
      <w:pPr>
        <w:pStyle w:val="ListParagraph"/>
      </w:pPr>
      <w:r w:rsidRPr="0007500C">
        <w:t xml:space="preserve">Comparing </w:t>
      </w:r>
      <w:proofErr w:type="spellStart"/>
      <w:r w:rsidRPr="0007500C">
        <w:rPr>
          <w:b/>
          <w:bCs/>
        </w:rPr>
        <w:t>NutriTrack</w:t>
      </w:r>
      <w:proofErr w:type="spellEnd"/>
      <w:r w:rsidRPr="0007500C">
        <w:t xml:space="preserve"> to the existing </w:t>
      </w:r>
      <w:proofErr w:type="spellStart"/>
      <w:r w:rsidRPr="0007500C">
        <w:rPr>
          <w:b/>
          <w:bCs/>
        </w:rPr>
        <w:t>Tubie</w:t>
      </w:r>
      <w:proofErr w:type="spellEnd"/>
      <w:r w:rsidRPr="0007500C">
        <w:t xml:space="preserve"> application reveals a distinct difference in focus: </w:t>
      </w:r>
      <w:proofErr w:type="spellStart"/>
      <w:r w:rsidR="006965E0" w:rsidRPr="006965E0">
        <w:t>NutriTrack’s</w:t>
      </w:r>
      <w:proofErr w:type="spellEnd"/>
      <w:r w:rsidR="006965E0" w:rsidRPr="006965E0">
        <w:t xml:space="preserve"> specialized clinical utility. While general apps like </w:t>
      </w:r>
      <w:proofErr w:type="spellStart"/>
      <w:r w:rsidR="006965E0" w:rsidRPr="006965E0">
        <w:t>Tubie</w:t>
      </w:r>
      <w:proofErr w:type="spellEnd"/>
      <w:r w:rsidR="006965E0" w:rsidRPr="006965E0">
        <w:t xml:space="preserve"> serve as long-term "logbooks" for stable patients, </w:t>
      </w:r>
      <w:proofErr w:type="spellStart"/>
      <w:r w:rsidR="006965E0" w:rsidRPr="006965E0">
        <w:t>NutriTrack</w:t>
      </w:r>
      <w:proofErr w:type="spellEnd"/>
      <w:r w:rsidR="006965E0" w:rsidRPr="006965E0">
        <w:t xml:space="preserve"> is designed as a dynamic intervention tool for the critical transition period.</w:t>
      </w:r>
    </w:p>
    <w:p w14:paraId="03B2104B" w14:textId="77777777" w:rsidR="006965E0" w:rsidRDefault="006965E0" w:rsidP="0007500C">
      <w:pPr>
        <w:pStyle w:val="ListParagraph"/>
      </w:pPr>
    </w:p>
    <w:p w14:paraId="4A7E68E2" w14:textId="77777777" w:rsidR="006965E0" w:rsidRPr="006965E0" w:rsidRDefault="006965E0" w:rsidP="0007500C">
      <w:pPr>
        <w:pStyle w:val="ListParagraph"/>
      </w:pPr>
    </w:p>
    <w:p w14:paraId="4E7130A2" w14:textId="77777777" w:rsidR="00C05C4C" w:rsidRPr="00C05C4C" w:rsidRDefault="00C05C4C" w:rsidP="00C05C4C">
      <w:pPr>
        <w:pStyle w:val="ListParagraph"/>
        <w:rPr>
          <w:b/>
          <w:bCs/>
        </w:rPr>
      </w:pPr>
      <w:r w:rsidRPr="00C05C4C">
        <w:rPr>
          <w:b/>
          <w:bCs/>
        </w:rPr>
        <w:t>Clinical Differentiation: The "Adaptation Phase"</w:t>
      </w:r>
    </w:p>
    <w:p w14:paraId="6763A3B8" w14:textId="77777777" w:rsidR="00C05C4C" w:rsidRPr="00C05C4C" w:rsidRDefault="00C05C4C" w:rsidP="00C05C4C">
      <w:pPr>
        <w:pStyle w:val="ListParagraph"/>
      </w:pPr>
      <w:proofErr w:type="spellStart"/>
      <w:r w:rsidRPr="00C05C4C">
        <w:t>NutriTrack</w:t>
      </w:r>
      <w:proofErr w:type="spellEnd"/>
      <w:r w:rsidRPr="00C05C4C">
        <w:t xml:space="preserve"> fills a critical gap in the patient journey that current market solutions overlook:</w:t>
      </w:r>
    </w:p>
    <w:p w14:paraId="748CC71F" w14:textId="27A4FBF1" w:rsidR="00C05C4C" w:rsidRPr="00C05C4C" w:rsidRDefault="00C05C4C" w:rsidP="00C05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05C4C">
        <w:rPr>
          <w:rFonts w:asciiTheme="majorHAnsi" w:hAnsiTheme="majorHAnsi"/>
          <w:b/>
          <w:bCs/>
        </w:rPr>
        <w:lastRenderedPageBreak/>
        <w:t>The "New User" Learning Curve:</w:t>
      </w:r>
      <w:r w:rsidRPr="00C05C4C">
        <w:rPr>
          <w:rFonts w:asciiTheme="majorHAnsi" w:hAnsiTheme="majorHAnsi"/>
        </w:rPr>
        <w:t xml:space="preserve"> For caregivers managing a tube for the first time, the complexity of calculating feed rates can be overwhelming. </w:t>
      </w:r>
      <w:proofErr w:type="spellStart"/>
      <w:r w:rsidRPr="00C05C4C">
        <w:rPr>
          <w:rFonts w:asciiTheme="majorHAnsi" w:hAnsiTheme="majorHAnsi"/>
        </w:rPr>
        <w:t>NutriTrack</w:t>
      </w:r>
      <w:proofErr w:type="spellEnd"/>
      <w:r w:rsidRPr="00C05C4C">
        <w:rPr>
          <w:rFonts w:asciiTheme="majorHAnsi" w:hAnsiTheme="majorHAnsi"/>
        </w:rPr>
        <w:t xml:space="preserve"> simplifies this with guided infographics and automated calculations</w:t>
      </w:r>
      <w:r w:rsidRPr="00F94811">
        <w:rPr>
          <w:rFonts w:asciiTheme="majorHAnsi" w:hAnsiTheme="majorHAnsi"/>
        </w:rPr>
        <w:t>.</w:t>
      </w:r>
    </w:p>
    <w:p w14:paraId="57BFE513" w14:textId="77777777" w:rsidR="00C05C4C" w:rsidRDefault="00C05C4C" w:rsidP="00C05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05C4C">
        <w:rPr>
          <w:rFonts w:asciiTheme="majorHAnsi" w:hAnsiTheme="majorHAnsi"/>
          <w:b/>
          <w:bCs/>
        </w:rPr>
        <w:t>The Oncology Challenge:</w:t>
      </w:r>
      <w:r w:rsidRPr="00C05C4C">
        <w:rPr>
          <w:rFonts w:asciiTheme="majorHAnsi" w:hAnsiTheme="majorHAnsi"/>
        </w:rPr>
        <w:t xml:space="preserve"> Patients undergoing chemotherapy often suffer from treatment-induced side effects like mucositis or delayed gastric emptying. They rarely tolerate "full feeds" immediately.</w:t>
      </w:r>
    </w:p>
    <w:p w14:paraId="6D9C8E8E" w14:textId="01F900F2" w:rsidR="00715A14" w:rsidRPr="007C58AB" w:rsidRDefault="007C58AB" w:rsidP="00715A14">
      <w:pPr>
        <w:ind w:left="360"/>
        <w:rPr>
          <w:rFonts w:asciiTheme="majorHAnsi" w:hAnsiTheme="majorHAnsi"/>
          <w:b/>
          <w:bCs/>
        </w:rPr>
      </w:pPr>
      <w:r w:rsidRPr="007C58AB">
        <w:rPr>
          <w:rFonts w:asciiTheme="majorHAnsi" w:hAnsiTheme="majorHAnsi"/>
          <w:b/>
          <w:bCs/>
        </w:rPr>
        <w:t>Specification Comparison</w:t>
      </w:r>
    </w:p>
    <w:p w14:paraId="77C3EAA2" w14:textId="77777777" w:rsidR="00C05C4C" w:rsidRPr="00F94811" w:rsidRDefault="00C05C4C" w:rsidP="00C05C4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05C4C">
        <w:rPr>
          <w:rFonts w:asciiTheme="majorHAnsi" w:hAnsiTheme="majorHAnsi"/>
          <w:b/>
          <w:bCs/>
        </w:rPr>
        <w:t>Precision Titration:</w:t>
      </w:r>
      <w:r w:rsidRPr="00C05C4C">
        <w:rPr>
          <w:rFonts w:asciiTheme="majorHAnsi" w:hAnsiTheme="majorHAnsi"/>
        </w:rPr>
        <w:t xml:space="preserve"> Unlike Tubie, which tracks what </w:t>
      </w:r>
      <w:r w:rsidRPr="00C05C4C">
        <w:rPr>
          <w:rFonts w:asciiTheme="majorHAnsi" w:hAnsiTheme="majorHAnsi"/>
          <w:i/>
          <w:iCs/>
        </w:rPr>
        <w:t>was</w:t>
      </w:r>
      <w:r w:rsidRPr="00C05C4C">
        <w:rPr>
          <w:rFonts w:asciiTheme="majorHAnsi" w:hAnsiTheme="majorHAnsi"/>
        </w:rPr>
        <w:t xml:space="preserve"> given, </w:t>
      </w:r>
      <w:proofErr w:type="spellStart"/>
      <w:r w:rsidRPr="00C05C4C">
        <w:rPr>
          <w:rFonts w:asciiTheme="majorHAnsi" w:hAnsiTheme="majorHAnsi"/>
        </w:rPr>
        <w:t>NutriTrack</w:t>
      </w:r>
      <w:proofErr w:type="spellEnd"/>
      <w:r w:rsidRPr="00C05C4C">
        <w:rPr>
          <w:rFonts w:asciiTheme="majorHAnsi" w:hAnsiTheme="majorHAnsi"/>
        </w:rPr>
        <w:t xml:space="preserve"> calculates what </w:t>
      </w:r>
      <w:r w:rsidRPr="00C05C4C">
        <w:rPr>
          <w:rFonts w:asciiTheme="majorHAnsi" w:hAnsiTheme="majorHAnsi"/>
          <w:i/>
          <w:iCs/>
        </w:rPr>
        <w:t>should</w:t>
      </w:r>
      <w:r w:rsidRPr="00C05C4C">
        <w:rPr>
          <w:rFonts w:asciiTheme="majorHAnsi" w:hAnsiTheme="majorHAnsi"/>
        </w:rPr>
        <w:t xml:space="preserve"> be given next based on the patient's real-time tolerance, allowing for a safer "low and slow" approach to meeting nutritional targets</w:t>
      </w:r>
    </w:p>
    <w:p w14:paraId="7A5B8C2C" w14:textId="42629693" w:rsidR="002561FF" w:rsidRPr="00F94811" w:rsidRDefault="002561FF" w:rsidP="002561F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</w:pPr>
      <w:r w:rsidRPr="00F94811"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  <w:t>Clinical Titration vs. Manual Calculation</w:t>
      </w:r>
    </w:p>
    <w:p w14:paraId="251D7DEE" w14:textId="3A546A3B" w:rsidR="002561FF" w:rsidRPr="00F94811" w:rsidRDefault="002561FF" w:rsidP="002561F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Tubie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provides tools like an "Interval Timer" and "Pump Speed Calculator" to help users manually set their hardware (</w:t>
      </w:r>
      <w:r w:rsid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2</w:t>
      </w:r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). </w:t>
      </w: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NutriTrack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goes a step further by integrating clinical goals—it doesn't just calculate speed; it calculates the </w:t>
      </w:r>
      <w:r w:rsidRPr="00F94811">
        <w:rPr>
          <w:rFonts w:asciiTheme="majorHAnsi" w:eastAsia="Times New Roman" w:hAnsiTheme="majorHAnsi" w:cs="Times New Roman"/>
          <w:i/>
          <w:iCs/>
          <w:kern w:val="0"/>
          <w:szCs w:val="24"/>
          <w14:ligatures w14:val="none"/>
        </w:rPr>
        <w:t>required</w:t>
      </w:r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dose based on the patient's nutritional gap and physiological needs.</w:t>
      </w:r>
    </w:p>
    <w:p w14:paraId="1BB28248" w14:textId="77777777" w:rsidR="00AE70C2" w:rsidRPr="00F94811" w:rsidRDefault="00AE70C2" w:rsidP="00AE70C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</w:pPr>
      <w:r w:rsidRPr="00F94811"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  <w:t>Fluid Management</w:t>
      </w:r>
    </w:p>
    <w:p w14:paraId="2A3CB4F0" w14:textId="71B46373" w:rsidR="00AE70C2" w:rsidRPr="00F94811" w:rsidRDefault="00AE70C2" w:rsidP="00AE70C2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NutriTrack’s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ability to "add fluid loss and adjust daily" is a unique differentiator. Standard apps like </w:t>
      </w: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Tubie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or </w:t>
      </w: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Tubie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Tracker allow for logging volumes, but they do not typically calculate the compensatory fluids needed if a patient has high gastric residual volume or diarrhea </w:t>
      </w:r>
      <w:r w:rsidR="00C052B1">
        <w:rPr>
          <w:rFonts w:asciiTheme="majorHAnsi" w:eastAsia="Times New Roman" w:hAnsiTheme="majorHAnsi" w:cs="Times New Roman"/>
          <w:kern w:val="0"/>
          <w:szCs w:val="24"/>
          <w14:ligatures w14:val="none"/>
        </w:rPr>
        <w:t>(3)</w:t>
      </w:r>
    </w:p>
    <w:p w14:paraId="0AE8FECE" w14:textId="77777777" w:rsidR="00F94811" w:rsidRPr="00F94811" w:rsidRDefault="00F94811" w:rsidP="00F9481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</w:pPr>
      <w:r w:rsidRPr="00F94811">
        <w:rPr>
          <w:rFonts w:asciiTheme="majorHAnsi" w:eastAsia="Times New Roman" w:hAnsiTheme="majorHAnsi" w:cs="Times New Roman"/>
          <w:b/>
          <w:bCs/>
          <w:kern w:val="0"/>
          <w:szCs w:val="24"/>
          <w14:ligatures w14:val="none"/>
        </w:rPr>
        <w:t>Diary and Logistics</w:t>
      </w:r>
    </w:p>
    <w:p w14:paraId="2783E37A" w14:textId="3BA49EA0" w:rsidR="00F94811" w:rsidRDefault="00F94811" w:rsidP="00F94811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Tubie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is very strong in "supply management," offering reminders for when feeding sets or tubes </w:t>
      </w:r>
      <w:proofErr w:type="gram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expire</w:t>
      </w:r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(</w:t>
      </w:r>
      <w:proofErr w:type="gramEnd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2)</w:t>
      </w:r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</w:t>
      </w:r>
      <w:proofErr w:type="spellStart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>NutriTrack</w:t>
      </w:r>
      <w:proofErr w:type="spellEnd"/>
      <w:r w:rsidRPr="00F94811"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focuses its diary more on clinical outcomes (Nutritional Gap, compliance, and clinical complications) rather than hardware inventory. </w:t>
      </w:r>
    </w:p>
    <w:p w14:paraId="1460632C" w14:textId="77777777" w:rsidR="00606C3F" w:rsidRDefault="00606C3F" w:rsidP="00F94811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</w:p>
    <w:p w14:paraId="56B95B80" w14:textId="24F86FA1" w:rsidR="00606C3F" w:rsidRDefault="00606C3F" w:rsidP="00606C3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TAM/SAM/SOM</w:t>
      </w:r>
    </w:p>
    <w:p w14:paraId="34CC1687" w14:textId="4A74C0E9" w:rsidR="00606C3F" w:rsidRDefault="00B02EC5" w:rsidP="00606C3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gramStart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SOM :</w:t>
      </w:r>
      <w:proofErr w:type="gramEnd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King Chulalongkorn Memorial Hospital patients with enteral feeding</w:t>
      </w:r>
    </w:p>
    <w:p w14:paraId="77BA94B6" w14:textId="2564EB19" w:rsidR="00B02EC5" w:rsidRDefault="00B02EC5" w:rsidP="00606C3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gramStart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SAM :</w:t>
      </w:r>
      <w:proofErr w:type="gramEnd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</w:t>
      </w:r>
      <w:r w:rsidR="00425F92">
        <w:rPr>
          <w:rFonts w:asciiTheme="majorHAnsi" w:eastAsia="Times New Roman" w:hAnsiTheme="majorHAnsi" w:cs="Times New Roman"/>
          <w:kern w:val="0"/>
          <w:szCs w:val="24"/>
          <w14:ligatures w14:val="none"/>
        </w:rPr>
        <w:t>Home-base tube feeding in Bangkok</w:t>
      </w:r>
    </w:p>
    <w:p w14:paraId="626A1336" w14:textId="6D28BC7D" w:rsidR="00425F92" w:rsidRDefault="00425F92" w:rsidP="00425F92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proofErr w:type="gramStart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TAM :</w:t>
      </w:r>
      <w:proofErr w:type="gramEnd"/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 xml:space="preserve"> Thailand patients with enteral feeding </w:t>
      </w:r>
    </w:p>
    <w:p w14:paraId="4AA5AA5E" w14:textId="77777777" w:rsidR="00425F92" w:rsidRDefault="00425F92" w:rsidP="00425F92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</w:p>
    <w:p w14:paraId="730C3519" w14:textId="7E40EF7C" w:rsidR="00425F92" w:rsidRPr="00425F92" w:rsidRDefault="00493E61" w:rsidP="00493E6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Cs w:val="24"/>
          <w14:ligatures w14:val="none"/>
        </w:rPr>
        <w:t>Strategic Partnerships</w:t>
      </w:r>
    </w:p>
    <w:p w14:paraId="39E02546" w14:textId="1B81B0DD" w:rsidR="00944D65" w:rsidRDefault="002A5546" w:rsidP="009A6B5F">
      <w:pPr>
        <w:pStyle w:val="ListParagraph"/>
      </w:pPr>
      <w:r w:rsidRPr="002A5546">
        <w:t>Strategic Partnerships with Medical Food Brands</w:t>
      </w:r>
    </w:p>
    <w:p w14:paraId="2113D49B" w14:textId="10CFF948" w:rsidR="009D6E94" w:rsidRDefault="002A5546" w:rsidP="009D6E94">
      <w:pPr>
        <w:pStyle w:val="ListParagraph"/>
        <w:numPr>
          <w:ilvl w:val="1"/>
          <w:numId w:val="3"/>
        </w:numPr>
      </w:pPr>
      <w:r w:rsidRPr="002A5546">
        <w:t>The "Direct-to-Home" Logistics Integration</w:t>
      </w:r>
    </w:p>
    <w:p w14:paraId="2052322B" w14:textId="0C5B5AF0" w:rsidR="009D6E94" w:rsidRDefault="009D6E94" w:rsidP="009D6E94">
      <w:pPr>
        <w:pStyle w:val="ListParagraph"/>
        <w:ind w:left="1440"/>
      </w:pPr>
    </w:p>
    <w:p w14:paraId="5623E9AB" w14:textId="1F4E77AF" w:rsidR="009D6E94" w:rsidRDefault="009D6E94" w:rsidP="009D6E94">
      <w:pPr>
        <w:pStyle w:val="ListParagraph"/>
        <w:ind w:left="1440"/>
      </w:pPr>
      <w:proofErr w:type="gramStart"/>
      <w:r w:rsidRPr="009D6E94">
        <w:rPr>
          <w:b/>
          <w:bCs/>
        </w:rPr>
        <w:t>The Strategy</w:t>
      </w:r>
      <w:proofErr w:type="gramEnd"/>
      <w:r w:rsidRPr="009D6E94">
        <w:rPr>
          <w:b/>
          <w:bCs/>
        </w:rPr>
        <w:t>:</w:t>
      </w:r>
      <w:r w:rsidRPr="009D6E94">
        <w:t xml:space="preserve"> Integrate a "One-Click Order" button within the app. When the clinician prescribes a specific formula (e.g., a high-protein formula for a post-surgery cancer patient), the caregiver can order it directly through the app.</w:t>
      </w:r>
    </w:p>
    <w:p w14:paraId="2AFF4D8A" w14:textId="77777777" w:rsidR="009D6E94" w:rsidRDefault="009D6E94" w:rsidP="009D6E94">
      <w:pPr>
        <w:pStyle w:val="ListParagraph"/>
        <w:ind w:left="1440"/>
        <w:rPr>
          <w:b/>
          <w:bCs/>
        </w:rPr>
      </w:pPr>
    </w:p>
    <w:p w14:paraId="438ED3E1" w14:textId="77777777" w:rsidR="009D6E94" w:rsidRDefault="009D6E94" w:rsidP="009D6E94">
      <w:pPr>
        <w:pStyle w:val="ListParagraph"/>
        <w:ind w:left="1440"/>
        <w:rPr>
          <w:i/>
          <w:iCs/>
        </w:rPr>
      </w:pPr>
      <w:r w:rsidRPr="009D6E94">
        <w:rPr>
          <w:b/>
          <w:bCs/>
        </w:rPr>
        <w:t>The Function:</w:t>
      </w:r>
      <w:r w:rsidRPr="009D6E94">
        <w:t xml:space="preserve"> The app calculates the </w:t>
      </w:r>
      <w:r w:rsidRPr="009D6E94">
        <w:rPr>
          <w:b/>
          <w:bCs/>
        </w:rPr>
        <w:t>Inventory Forecast</w:t>
      </w:r>
      <w:r w:rsidRPr="009D6E94">
        <w:t xml:space="preserve">. Based on the titration dose, </w:t>
      </w:r>
      <w:proofErr w:type="spellStart"/>
      <w:r w:rsidRPr="009D6E94">
        <w:t>NutriTrack</w:t>
      </w:r>
      <w:proofErr w:type="spellEnd"/>
      <w:r w:rsidRPr="009D6E94">
        <w:t xml:space="preserve"> knows exactly when the caregiver will run out of </w:t>
      </w:r>
      <w:r w:rsidRPr="009D6E94">
        <w:lastRenderedPageBreak/>
        <w:t xml:space="preserve">stock and sends a notification: </w:t>
      </w:r>
      <w:r w:rsidRPr="009D6E94">
        <w:rPr>
          <w:i/>
          <w:iCs/>
        </w:rPr>
        <w:t>"Your formula will last for 3 more days. Would you like to re-order now for home delivery?"</w:t>
      </w:r>
    </w:p>
    <w:p w14:paraId="4E9F65FD" w14:textId="77777777" w:rsidR="009D6E94" w:rsidRDefault="009D6E94" w:rsidP="009D6E94">
      <w:pPr>
        <w:pStyle w:val="ListParagraph"/>
        <w:ind w:left="1440"/>
        <w:rPr>
          <w:b/>
          <w:bCs/>
        </w:rPr>
      </w:pPr>
    </w:p>
    <w:p w14:paraId="2DF3E999" w14:textId="59633970" w:rsidR="009D6E94" w:rsidRDefault="009D6E94" w:rsidP="009D6E94">
      <w:pPr>
        <w:pStyle w:val="ListParagraph"/>
        <w:ind w:left="1440"/>
      </w:pPr>
      <w:r w:rsidRPr="009D6E94">
        <w:rPr>
          <w:b/>
          <w:bCs/>
        </w:rPr>
        <w:t>Benefit:</w:t>
      </w:r>
      <w:r w:rsidRPr="009D6E94">
        <w:t xml:space="preserve"> The brand gains a recurring revenue stream and high customer loyalty, while the caregiver avoids the stress of running out of supplies.</w:t>
      </w:r>
    </w:p>
    <w:p w14:paraId="578D5C7A" w14:textId="77777777" w:rsidR="00856D89" w:rsidRDefault="00856D89" w:rsidP="009D6E94">
      <w:pPr>
        <w:pStyle w:val="ListParagraph"/>
        <w:ind w:left="1440"/>
      </w:pPr>
    </w:p>
    <w:p w14:paraId="0D02F7DE" w14:textId="058B896F" w:rsidR="00856D89" w:rsidRPr="00856D89" w:rsidRDefault="00856D89" w:rsidP="00856D89">
      <w:pPr>
        <w:pStyle w:val="ListParagraph"/>
        <w:numPr>
          <w:ilvl w:val="1"/>
          <w:numId w:val="3"/>
        </w:numPr>
      </w:pPr>
      <w:r w:rsidRPr="00856D89">
        <w:t>Data-Driven "Adherence Reports" for Brands</w:t>
      </w:r>
    </w:p>
    <w:p w14:paraId="45EBA497" w14:textId="77777777" w:rsidR="00856D89" w:rsidRPr="00856D89" w:rsidRDefault="00856D89" w:rsidP="00856D89">
      <w:pPr>
        <w:ind w:left="1080"/>
      </w:pPr>
      <w:r w:rsidRPr="00856D89">
        <w:rPr>
          <w:b/>
          <w:bCs/>
        </w:rPr>
        <w:t>The Strategy:</w:t>
      </w:r>
      <w:r w:rsidRPr="00856D89">
        <w:t xml:space="preserve"> Provide anonymized, aggregated data to the brand regarding how patients tolerate their formulas during the "Adaptation Phase."</w:t>
      </w:r>
    </w:p>
    <w:p w14:paraId="7C15FD62" w14:textId="77777777" w:rsidR="00856D89" w:rsidRPr="00856D89" w:rsidRDefault="00856D89" w:rsidP="00856D89">
      <w:pPr>
        <w:ind w:left="1080"/>
      </w:pPr>
      <w:r w:rsidRPr="00856D89">
        <w:rPr>
          <w:b/>
          <w:bCs/>
        </w:rPr>
        <w:t>The Function:</w:t>
      </w:r>
      <w:r w:rsidRPr="00856D89">
        <w:t xml:space="preserve"> A dashboard for the brand's medical affairs team showing, for example: </w:t>
      </w:r>
      <w:r w:rsidRPr="00856D89">
        <w:rPr>
          <w:i/>
          <w:iCs/>
        </w:rPr>
        <w:t xml:space="preserve">"80% of oncology patients using [Product X] reached their full-feed target within 5 days using </w:t>
      </w:r>
      <w:proofErr w:type="spellStart"/>
      <w:r w:rsidRPr="00856D89">
        <w:rPr>
          <w:i/>
          <w:iCs/>
        </w:rPr>
        <w:t>NutriTrack</w:t>
      </w:r>
      <w:proofErr w:type="spellEnd"/>
      <w:r w:rsidRPr="00856D89">
        <w:rPr>
          <w:i/>
          <w:iCs/>
        </w:rPr>
        <w:t xml:space="preserve"> titration."</w:t>
      </w:r>
    </w:p>
    <w:p w14:paraId="72A69235" w14:textId="77777777" w:rsidR="00856D89" w:rsidRPr="00856D89" w:rsidRDefault="00856D89" w:rsidP="00856D89">
      <w:pPr>
        <w:ind w:left="1080"/>
      </w:pPr>
      <w:r w:rsidRPr="00856D89">
        <w:rPr>
          <w:b/>
          <w:bCs/>
        </w:rPr>
        <w:t>Benefit:</w:t>
      </w:r>
      <w:r w:rsidRPr="00856D89">
        <w:t xml:space="preserve"> Brands can use this clinical "real-world evidence" to market their products to more hospitals and doctors.</w:t>
      </w:r>
    </w:p>
    <w:p w14:paraId="55ECAED2" w14:textId="77777777" w:rsidR="00856D89" w:rsidRDefault="00856D89" w:rsidP="009D6E94">
      <w:pPr>
        <w:pStyle w:val="ListParagraph"/>
        <w:ind w:left="1440"/>
      </w:pPr>
    </w:p>
    <w:p w14:paraId="15E56F8B" w14:textId="182D6B22" w:rsidR="00747BEB" w:rsidRDefault="00747BEB" w:rsidP="00747BEB">
      <w:pPr>
        <w:pStyle w:val="ListParagraph"/>
        <w:numPr>
          <w:ilvl w:val="0"/>
          <w:numId w:val="1"/>
        </w:numPr>
      </w:pPr>
      <w:r>
        <w:t>Business details:</w:t>
      </w:r>
    </w:p>
    <w:p w14:paraId="6E648D90" w14:textId="7E1B63F8" w:rsidR="00747BEB" w:rsidRDefault="003D2F12" w:rsidP="00747BEB">
      <w:pPr>
        <w:pStyle w:val="ListParagraph"/>
      </w:pPr>
      <w:r>
        <w:t>6.1</w:t>
      </w:r>
      <w:r w:rsidR="00747BEB">
        <w:t>Pricing strategy</w:t>
      </w:r>
    </w:p>
    <w:p w14:paraId="5CB7B9AE" w14:textId="77777777" w:rsidR="00806872" w:rsidRPr="00806872" w:rsidRDefault="00806872" w:rsidP="00806872">
      <w:pPr>
        <w:pStyle w:val="ListParagraph"/>
      </w:pPr>
      <w:r w:rsidRPr="00806872">
        <w:t>1. The "Hospital-as-a-Service" Subscription (B2B)</w:t>
      </w:r>
    </w:p>
    <w:p w14:paraId="0F5B38FB" w14:textId="77777777" w:rsidR="00806872" w:rsidRPr="00806872" w:rsidRDefault="00806872" w:rsidP="006D0A74">
      <w:pPr>
        <w:pStyle w:val="ListParagraph"/>
        <w:numPr>
          <w:ilvl w:val="0"/>
          <w:numId w:val="9"/>
        </w:numPr>
      </w:pPr>
      <w:r w:rsidRPr="00806872">
        <w:t xml:space="preserve">Instead of charging patients directly, the hospital pays a License Fee to integrate </w:t>
      </w:r>
      <w:proofErr w:type="spellStart"/>
      <w:r w:rsidRPr="00806872">
        <w:t>NutriTrack</w:t>
      </w:r>
      <w:proofErr w:type="spellEnd"/>
      <w:r w:rsidRPr="00806872">
        <w:t xml:space="preserve"> into their discharge and home-care workflow.</w:t>
      </w:r>
    </w:p>
    <w:p w14:paraId="39A5B6D2" w14:textId="32122D28" w:rsidR="00806872" w:rsidRDefault="00806872" w:rsidP="006D0A74">
      <w:pPr>
        <w:pStyle w:val="ListParagraph"/>
        <w:numPr>
          <w:ilvl w:val="0"/>
          <w:numId w:val="9"/>
        </w:numPr>
      </w:pPr>
      <w:r w:rsidRPr="00806872">
        <w:t>Annual monthly subscription based on the number of active</w:t>
      </w:r>
    </w:p>
    <w:p w14:paraId="4AF1A600" w14:textId="77777777" w:rsidR="00AE3652" w:rsidRDefault="00ED5121" w:rsidP="006D0A74">
      <w:pPr>
        <w:pStyle w:val="ListParagraph"/>
        <w:numPr>
          <w:ilvl w:val="0"/>
          <w:numId w:val="9"/>
        </w:numPr>
      </w:pPr>
      <w:r w:rsidRPr="00ED5121">
        <w:t>Caregivers and patients receive Free Access via a hospital-provided activation code at the point of discharge.</w:t>
      </w:r>
    </w:p>
    <w:p w14:paraId="6E5B1188" w14:textId="72EF36E6" w:rsidR="00AE3652" w:rsidRPr="003D2F12" w:rsidRDefault="00AE3652" w:rsidP="00AE3652">
      <w:pPr>
        <w:pStyle w:val="ListParagraph"/>
      </w:pPr>
      <w:r w:rsidRPr="003D2F12">
        <w:t>2.</w:t>
      </w:r>
      <w:r w:rsidRPr="003D2F12">
        <w:t>The "Brand Sponsorship" Revenue (B2B)</w:t>
      </w:r>
    </w:p>
    <w:p w14:paraId="5AE5D447" w14:textId="77777777" w:rsidR="00AE3652" w:rsidRDefault="00AE3652" w:rsidP="006D0A74">
      <w:pPr>
        <w:pStyle w:val="ListParagraph"/>
        <w:numPr>
          <w:ilvl w:val="0"/>
          <w:numId w:val="10"/>
        </w:numPr>
      </w:pPr>
      <w:r w:rsidRPr="00AE3652">
        <w:t xml:space="preserve">Partnering with Medical Food brands (e.g., Nestlé, Abbott) </w:t>
      </w:r>
    </w:p>
    <w:p w14:paraId="76AA172D" w14:textId="3E0D95F0" w:rsidR="00AE3652" w:rsidRDefault="00AE3652" w:rsidP="006D0A74">
      <w:pPr>
        <w:pStyle w:val="ListParagraph"/>
        <w:numPr>
          <w:ilvl w:val="0"/>
          <w:numId w:val="10"/>
        </w:numPr>
      </w:pPr>
      <w:r w:rsidRPr="00AE3652">
        <w:t>Brands pay to have their product catalog pre-loaded and featured as the "Preferred Option" in the calculator.</w:t>
      </w:r>
    </w:p>
    <w:p w14:paraId="25A9068C" w14:textId="5674618E" w:rsidR="006D0A74" w:rsidRPr="00AE3652" w:rsidRDefault="006D0A74" w:rsidP="006D0A74">
      <w:pPr>
        <w:pStyle w:val="ListParagraph"/>
        <w:numPr>
          <w:ilvl w:val="0"/>
          <w:numId w:val="10"/>
        </w:numPr>
      </w:pPr>
      <w:proofErr w:type="spellStart"/>
      <w:r w:rsidRPr="006D0A74">
        <w:t>NutriTrack</w:t>
      </w:r>
      <w:proofErr w:type="spellEnd"/>
      <w:r w:rsidRPr="006D0A74">
        <w:t xml:space="preserve"> takes a 3–5% referral fee on every order placed through the app’s "Buy Now" button for home delivery.</w:t>
      </w:r>
    </w:p>
    <w:p w14:paraId="2BBEFAB7" w14:textId="77777777" w:rsidR="006D0A74" w:rsidRPr="006D0A74" w:rsidRDefault="006D0A74" w:rsidP="006D0A74">
      <w:pPr>
        <w:pStyle w:val="ListParagraph"/>
        <w:numPr>
          <w:ilvl w:val="0"/>
          <w:numId w:val="10"/>
        </w:numPr>
      </w:pPr>
      <w:r w:rsidRPr="006D0A74">
        <w:t>Brands pay for access to anonymized, aggregated "Tolerance &amp; Adherence" reports to understand how their products perform in real-world oncology cases.</w:t>
      </w:r>
    </w:p>
    <w:p w14:paraId="1EC4253D" w14:textId="7B2B0BBB" w:rsidR="008620FA" w:rsidRDefault="00002230" w:rsidP="005F0C98">
      <w:pPr>
        <w:pStyle w:val="ListParagraph"/>
        <w:numPr>
          <w:ilvl w:val="1"/>
          <w:numId w:val="1"/>
        </w:numPr>
      </w:pPr>
      <w:r>
        <w:t>Go-to-market</w:t>
      </w:r>
    </w:p>
    <w:p w14:paraId="660C48D0" w14:textId="456ACF9C" w:rsidR="005F0C98" w:rsidRPr="005F0C98" w:rsidRDefault="005F0C98" w:rsidP="005F0C98">
      <w:pPr>
        <w:pStyle w:val="ListParagraph"/>
        <w:ind w:left="1090"/>
        <w:rPr>
          <w:b/>
          <w:bCs/>
        </w:rPr>
      </w:pPr>
      <w:r w:rsidRPr="005F0C98">
        <w:rPr>
          <w:b/>
          <w:bCs/>
        </w:rPr>
        <w:t xml:space="preserve">Market Opportunity </w:t>
      </w:r>
    </w:p>
    <w:p w14:paraId="005251AC" w14:textId="6E7A70B7" w:rsidR="005F0C98" w:rsidRDefault="005F0C98" w:rsidP="005F0C98">
      <w:pPr>
        <w:pStyle w:val="ListParagraph"/>
        <w:ind w:firstLine="370"/>
      </w:pPr>
      <w:r w:rsidRPr="005F0C98">
        <w:t xml:space="preserve">The Thai enteral feeding devices market is projected to reach $62.4 million in 2025, growing at a CAGR of 6.1% through 2033. </w:t>
      </w:r>
      <w:r w:rsidR="00C24DA4">
        <w:t>(4)</w:t>
      </w:r>
      <w:r w:rsidR="00231642">
        <w:t xml:space="preserve"> </w:t>
      </w:r>
      <w:r w:rsidR="00231642" w:rsidRPr="00231642">
        <w:t xml:space="preserve">Oncology nutrition is one of the </w:t>
      </w:r>
      <w:r w:rsidR="00231642" w:rsidRPr="00231642">
        <w:lastRenderedPageBreak/>
        <w:t xml:space="preserve">fastest-growing sub-segments. With approximately 55% of enteral products distributed through hospital </w:t>
      </w:r>
      <w:r w:rsidR="00DF3B56" w:rsidRPr="00231642">
        <w:t>pharmacies</w:t>
      </w:r>
      <w:r w:rsidR="00DF3B56">
        <w:t>. (</w:t>
      </w:r>
      <w:r w:rsidR="00231642">
        <w:t>5)</w:t>
      </w:r>
      <w:r w:rsidR="008A49C6" w:rsidRPr="008A49C6">
        <w:t xml:space="preserve"> </w:t>
      </w:r>
      <w:proofErr w:type="spellStart"/>
      <w:r w:rsidR="008A49C6" w:rsidRPr="008A49C6">
        <w:t>NutriTrack’s</w:t>
      </w:r>
      <w:proofErr w:type="spellEnd"/>
      <w:r w:rsidR="008A49C6" w:rsidRPr="008A49C6">
        <w:t xml:space="preserve"> value proposition is its clinical decision support during high-sensitivity treatments like</w:t>
      </w:r>
      <w:r w:rsidR="008A49C6">
        <w:t xml:space="preserve"> foregut cancer cases or patients ongoing</w:t>
      </w:r>
      <w:r w:rsidR="008A49C6" w:rsidRPr="008A49C6">
        <w:t xml:space="preserve"> chemotherapy.</w:t>
      </w:r>
    </w:p>
    <w:p w14:paraId="29EA0BC2" w14:textId="151CC8A4" w:rsidR="008A49C6" w:rsidRDefault="00095D4D" w:rsidP="005F0C98">
      <w:pPr>
        <w:pStyle w:val="ListParagraph"/>
        <w:ind w:firstLine="370"/>
        <w:rPr>
          <w:b/>
          <w:bCs/>
        </w:rPr>
      </w:pPr>
      <w:r w:rsidRPr="00095D4D">
        <w:rPr>
          <w:b/>
          <w:bCs/>
        </w:rPr>
        <w:t>Strategic G</w:t>
      </w:r>
      <w:r w:rsidRPr="00095D4D">
        <w:rPr>
          <w:b/>
          <w:bCs/>
        </w:rPr>
        <w:t>o-to-</w:t>
      </w:r>
      <w:r w:rsidRPr="00095D4D">
        <w:rPr>
          <w:b/>
          <w:bCs/>
        </w:rPr>
        <w:t>M</w:t>
      </w:r>
      <w:r w:rsidRPr="00095D4D">
        <w:rPr>
          <w:b/>
          <w:bCs/>
        </w:rPr>
        <w:t>arket</w:t>
      </w:r>
      <w:r w:rsidRPr="00095D4D">
        <w:rPr>
          <w:b/>
          <w:bCs/>
        </w:rPr>
        <w:t xml:space="preserve"> Phases</w:t>
      </w:r>
    </w:p>
    <w:p w14:paraId="01F8592B" w14:textId="12B38712" w:rsidR="00F1698A" w:rsidRDefault="00F1698A" w:rsidP="00F1698A">
      <w:pPr>
        <w:pStyle w:val="ListParagraph"/>
        <w:ind w:firstLine="370"/>
      </w:pPr>
      <w:r w:rsidRPr="007F3B7A">
        <w:rPr>
          <w:i/>
          <w:iCs/>
        </w:rPr>
        <w:t>Clinical Validation &amp; "The Chula Pilot</w:t>
      </w:r>
      <w:proofErr w:type="gramStart"/>
      <w:r w:rsidRPr="007F3B7A">
        <w:rPr>
          <w:i/>
          <w:iCs/>
        </w:rPr>
        <w:t>"</w:t>
      </w:r>
      <w:r>
        <w:rPr>
          <w:b/>
          <w:bCs/>
        </w:rPr>
        <w:t xml:space="preserve"> :</w:t>
      </w:r>
      <w:proofErr w:type="gramEnd"/>
      <w:r w:rsidRPr="00F1698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F1698A">
        <w:t>run a pilot study focusing on "Time to Target Feed" (how quickly patients reach their goal with vs. without the app).</w:t>
      </w:r>
    </w:p>
    <w:p w14:paraId="7D532DFC" w14:textId="4C704118" w:rsidR="00462035" w:rsidRDefault="00462035" w:rsidP="00F1698A">
      <w:pPr>
        <w:pStyle w:val="ListParagraph"/>
        <w:ind w:firstLine="370"/>
      </w:pPr>
      <w:r w:rsidRPr="007F3B7A">
        <w:rPr>
          <w:i/>
          <w:iCs/>
        </w:rPr>
        <w:t xml:space="preserve">B2B Hospital </w:t>
      </w:r>
      <w:proofErr w:type="gramStart"/>
      <w:r w:rsidRPr="007F3B7A">
        <w:rPr>
          <w:i/>
          <w:iCs/>
        </w:rPr>
        <w:t>Partnerships</w:t>
      </w:r>
      <w:r w:rsidRPr="007F3B7A">
        <w:rPr>
          <w:i/>
          <w:iCs/>
        </w:rPr>
        <w:t xml:space="preserve"> :</w:t>
      </w:r>
      <w:proofErr w:type="gramEnd"/>
      <w:r>
        <w:rPr>
          <w:b/>
          <w:bCs/>
        </w:rPr>
        <w:t xml:space="preserve"> </w:t>
      </w:r>
      <w:r w:rsidR="000D6F51" w:rsidRPr="000D6F51">
        <w:t>Offer the app as a free value-add to the Nutrition Support Teams</w:t>
      </w:r>
    </w:p>
    <w:p w14:paraId="64409816" w14:textId="0BE81108" w:rsidR="000D6F51" w:rsidRPr="00B024ED" w:rsidRDefault="00B024ED" w:rsidP="00F1698A">
      <w:pPr>
        <w:pStyle w:val="ListParagraph"/>
        <w:ind w:firstLine="370"/>
        <w:rPr>
          <w:b/>
          <w:bCs/>
        </w:rPr>
      </w:pPr>
      <w:r w:rsidRPr="007F3B7A">
        <w:rPr>
          <w:i/>
          <w:iCs/>
        </w:rPr>
        <w:t xml:space="preserve">Corporate Sponsorship &amp; Commercial </w:t>
      </w:r>
      <w:proofErr w:type="gramStart"/>
      <w:r w:rsidRPr="007F3B7A">
        <w:rPr>
          <w:i/>
          <w:iCs/>
        </w:rPr>
        <w:t>Scale</w:t>
      </w:r>
      <w:r w:rsidRPr="007F3B7A">
        <w:rPr>
          <w:i/>
          <w:iCs/>
        </w:rPr>
        <w:t xml:space="preserve"> </w:t>
      </w:r>
      <w:r w:rsidR="00870D8E" w:rsidRPr="007F3B7A">
        <w:rPr>
          <w:i/>
          <w:iCs/>
        </w:rPr>
        <w:t>:</w:t>
      </w:r>
      <w:proofErr w:type="gramEnd"/>
      <w:r w:rsidR="00870D8E" w:rsidRPr="007F3B7A">
        <w:rPr>
          <w:i/>
          <w:iCs/>
        </w:rPr>
        <w:t xml:space="preserve"> </w:t>
      </w:r>
      <w:r w:rsidR="00870D8E" w:rsidRPr="00870D8E">
        <w:t>Partner with brands</w:t>
      </w:r>
      <w:r w:rsidR="007F3B7A">
        <w:t xml:space="preserve"> and a</w:t>
      </w:r>
      <w:r w:rsidR="007F3B7A" w:rsidRPr="007F3B7A">
        <w:t>ctivate the in-app ordering system.</w:t>
      </w:r>
    </w:p>
    <w:p w14:paraId="31E54760" w14:textId="77777777" w:rsidR="00AA6540" w:rsidRPr="00AA6540" w:rsidRDefault="00AA6540" w:rsidP="00AA6540">
      <w:pPr>
        <w:pStyle w:val="ListParagraph"/>
        <w:ind w:firstLine="370"/>
        <w:rPr>
          <w:b/>
          <w:bCs/>
        </w:rPr>
      </w:pPr>
      <w:r w:rsidRPr="00AA6540">
        <w:rPr>
          <w:b/>
          <w:bCs/>
        </w:rPr>
        <w:t>Financial &amp; Pricing Architecture</w:t>
      </w:r>
    </w:p>
    <w:p w14:paraId="43EFFF79" w14:textId="0CCDEDF6" w:rsidR="00AA6540" w:rsidRPr="00AA6540" w:rsidRDefault="00AA6540" w:rsidP="00AA6540">
      <w:pPr>
        <w:ind w:left="360" w:firstLine="810"/>
      </w:pPr>
      <w:r w:rsidRPr="00AA6540">
        <w:t xml:space="preserve">Hospital Revenue: A Tiered Subscription Plan </w:t>
      </w:r>
    </w:p>
    <w:p w14:paraId="69289760" w14:textId="77777777" w:rsidR="00AA6540" w:rsidRPr="00AA6540" w:rsidRDefault="00AA6540" w:rsidP="00AA6540">
      <w:pPr>
        <w:ind w:left="360" w:firstLine="810"/>
      </w:pPr>
      <w:r w:rsidRPr="00AA6540">
        <w:t>Sponsorship Revenue: Tiered placement fees for medical food brands.</w:t>
      </w:r>
    </w:p>
    <w:p w14:paraId="55443695" w14:textId="77777777" w:rsidR="00AA6540" w:rsidRPr="00AA6540" w:rsidRDefault="00AA6540" w:rsidP="00AA6540">
      <w:pPr>
        <w:ind w:left="360" w:firstLine="810"/>
      </w:pPr>
      <w:r w:rsidRPr="00AA6540">
        <w:t>Transaction Revenue: 3–5% commission on formula sales via the D2H integration.</w:t>
      </w:r>
    </w:p>
    <w:p w14:paraId="0F3611CA" w14:textId="2F8188B6" w:rsidR="00095D4D" w:rsidRPr="005F0C98" w:rsidRDefault="00095D4D" w:rsidP="005F0C98">
      <w:pPr>
        <w:pStyle w:val="ListParagraph"/>
        <w:ind w:firstLine="370"/>
      </w:pPr>
    </w:p>
    <w:p w14:paraId="29F37061" w14:textId="77777777" w:rsidR="005F0C98" w:rsidRPr="008620FA" w:rsidRDefault="005F0C98" w:rsidP="005F0C98">
      <w:pPr>
        <w:pStyle w:val="ListParagraph"/>
        <w:ind w:left="1090"/>
        <w:rPr>
          <w:rFonts w:hint="cs"/>
        </w:rPr>
      </w:pPr>
    </w:p>
    <w:p w14:paraId="64964772" w14:textId="143CA0D4" w:rsidR="008620FA" w:rsidRDefault="008620FA" w:rsidP="009A6B5F">
      <w:pPr>
        <w:pStyle w:val="ListParagraph"/>
      </w:pPr>
      <w:r>
        <w:t>Reference</w:t>
      </w:r>
    </w:p>
    <w:p w14:paraId="191BD398" w14:textId="71CA0380" w:rsidR="008620FA" w:rsidRDefault="008620FA" w:rsidP="008620FA">
      <w:pPr>
        <w:pStyle w:val="ListParagraph"/>
        <w:numPr>
          <w:ilvl w:val="0"/>
          <w:numId w:val="2"/>
        </w:numPr>
      </w:pPr>
      <w:r w:rsidRPr="008620FA">
        <w:t xml:space="preserve">Arends, </w:t>
      </w:r>
      <w:proofErr w:type="gramStart"/>
      <w:r w:rsidRPr="008620FA">
        <w:t>J.(</w:t>
      </w:r>
      <w:proofErr w:type="gramEnd"/>
      <w:r w:rsidRPr="008620FA">
        <w:t xml:space="preserve">2017). ESPEN guidelines on nutrition in cancer patients. </w:t>
      </w:r>
      <w:r w:rsidRPr="008620FA">
        <w:rPr>
          <w:i/>
          <w:iCs/>
        </w:rPr>
        <w:t>Clinical Nutrition</w:t>
      </w:r>
      <w:r w:rsidRPr="008620FA">
        <w:t xml:space="preserve">, </w:t>
      </w:r>
      <w:r w:rsidRPr="008620FA">
        <w:rPr>
          <w:i/>
          <w:iCs/>
        </w:rPr>
        <w:t>36</w:t>
      </w:r>
      <w:r w:rsidRPr="008620FA">
        <w:t xml:space="preserve">(1), 11–48. </w:t>
      </w:r>
      <w:hyperlink w:tgtFrame="_blank" w:history="1">
        <w:r w:rsidRPr="008620FA">
          <w:rPr>
            <w:rStyle w:val="Hyperlink"/>
          </w:rPr>
          <w:t>https://doi.org/10.1016/j.clnu.2016.07.015</w:t>
        </w:r>
      </w:hyperlink>
    </w:p>
    <w:p w14:paraId="1EAD19F8" w14:textId="23E872B0" w:rsidR="008620FA" w:rsidRDefault="006C0594" w:rsidP="008620FA">
      <w:pPr>
        <w:pStyle w:val="ListParagraph"/>
        <w:numPr>
          <w:ilvl w:val="0"/>
          <w:numId w:val="2"/>
        </w:numPr>
      </w:pPr>
      <w:r w:rsidRPr="006C0594">
        <w:t xml:space="preserve">Linden, L. E. C. (2025). </w:t>
      </w:r>
      <w:proofErr w:type="spellStart"/>
      <w:r w:rsidRPr="006C0594">
        <w:t>Tubie</w:t>
      </w:r>
      <w:proofErr w:type="spellEnd"/>
      <w:r w:rsidRPr="006C0594">
        <w:t xml:space="preserve"> - Tube feeding companion [Mobile app]. App Store. </w:t>
      </w:r>
      <w:hyperlink w:tgtFrame="_blank" w:history="1">
        <w:r w:rsidRPr="006C0594">
          <w:rPr>
            <w:rStyle w:val="Hyperlink"/>
          </w:rPr>
          <w:t>https://apps.apple.com/nz/app/tubie/id6502291944</w:t>
        </w:r>
      </w:hyperlink>
    </w:p>
    <w:p w14:paraId="319654FD" w14:textId="0055996E" w:rsidR="006C0594" w:rsidRDefault="00C052B1" w:rsidP="008620FA">
      <w:pPr>
        <w:pStyle w:val="ListParagraph"/>
        <w:numPr>
          <w:ilvl w:val="0"/>
          <w:numId w:val="2"/>
        </w:numPr>
      </w:pPr>
      <w:proofErr w:type="spellStart"/>
      <w:r w:rsidRPr="00C052B1">
        <w:t>Tubie</w:t>
      </w:r>
      <w:proofErr w:type="spellEnd"/>
      <w:r w:rsidRPr="00C052B1">
        <w:t xml:space="preserve"> Tech. (n.d.). </w:t>
      </w:r>
      <w:r w:rsidRPr="00C052B1">
        <w:rPr>
          <w:i/>
          <w:iCs/>
        </w:rPr>
        <w:t xml:space="preserve">Feeding calculator: Volume to rate and rate to </w:t>
      </w:r>
      <w:proofErr w:type="spellStart"/>
      <w:r w:rsidR="00425F92">
        <w:rPr>
          <w:i/>
          <w:iCs/>
        </w:rPr>
        <w:t>TAM</w:t>
      </w:r>
      <w:r w:rsidRPr="00C052B1">
        <w:rPr>
          <w:i/>
          <w:iCs/>
        </w:rPr>
        <w:t>volume</w:t>
      </w:r>
      <w:proofErr w:type="spellEnd"/>
      <w:r w:rsidRPr="00C052B1">
        <w:t xml:space="preserve">. </w:t>
      </w:r>
      <w:hyperlink w:tgtFrame="_blank" w:history="1">
        <w:r w:rsidRPr="00C052B1">
          <w:rPr>
            <w:rStyle w:val="Hyperlink"/>
          </w:rPr>
          <w:t>https://tubietech.com/pages/feeding-calc</w:t>
        </w:r>
      </w:hyperlink>
    </w:p>
    <w:p w14:paraId="3F325BFA" w14:textId="0A82CF31" w:rsidR="00C24DA4" w:rsidRDefault="00C24DA4" w:rsidP="008620FA">
      <w:pPr>
        <w:pStyle w:val="ListParagraph"/>
        <w:numPr>
          <w:ilvl w:val="0"/>
          <w:numId w:val="2"/>
        </w:numPr>
      </w:pPr>
      <w:r w:rsidRPr="00C24DA4">
        <w:t xml:space="preserve">Grand View Research. (2025). </w:t>
      </w:r>
      <w:r w:rsidRPr="00C24DA4">
        <w:rPr>
          <w:i/>
          <w:iCs/>
        </w:rPr>
        <w:t>Thailand enteral feeding devices market size &amp; outlook, 2033</w:t>
      </w:r>
      <w:r w:rsidRPr="00C24DA4">
        <w:t>. Horizon Databook.</w:t>
      </w:r>
    </w:p>
    <w:p w14:paraId="226DA5FA" w14:textId="1B12FF73" w:rsidR="00231642" w:rsidRDefault="00DF3B56" w:rsidP="008620FA">
      <w:pPr>
        <w:pStyle w:val="ListParagraph"/>
        <w:numPr>
          <w:ilvl w:val="0"/>
          <w:numId w:val="2"/>
        </w:numPr>
      </w:pPr>
      <w:r w:rsidRPr="00DF3B56">
        <w:t xml:space="preserve">Future Market Insights. (2026). </w:t>
      </w:r>
      <w:r w:rsidRPr="00DF3B56">
        <w:rPr>
          <w:i/>
          <w:iCs/>
        </w:rPr>
        <w:t>Enteral nutrition market: Global market analysis report - 2036</w:t>
      </w:r>
      <w:r w:rsidRPr="00DF3B56">
        <w:t>.</w:t>
      </w:r>
    </w:p>
    <w:sectPr w:rsidR="0023164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3C76" w14:textId="77777777" w:rsidR="00624296" w:rsidRDefault="00624296" w:rsidP="00624296">
      <w:pPr>
        <w:spacing w:after="0" w:line="240" w:lineRule="auto"/>
      </w:pPr>
      <w:r>
        <w:separator/>
      </w:r>
    </w:p>
  </w:endnote>
  <w:endnote w:type="continuationSeparator" w:id="0">
    <w:p w14:paraId="53211666" w14:textId="77777777" w:rsidR="00624296" w:rsidRDefault="00624296" w:rsidP="0062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6CAC" w14:textId="77777777" w:rsidR="00624296" w:rsidRDefault="00624296" w:rsidP="00624296">
      <w:pPr>
        <w:spacing w:after="0" w:line="240" w:lineRule="auto"/>
      </w:pPr>
      <w:r>
        <w:separator/>
      </w:r>
    </w:p>
  </w:footnote>
  <w:footnote w:type="continuationSeparator" w:id="0">
    <w:p w14:paraId="67481504" w14:textId="77777777" w:rsidR="00624296" w:rsidRDefault="00624296" w:rsidP="0062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E53" w14:textId="5A4B5022" w:rsidR="00624296" w:rsidRPr="00671A9D" w:rsidRDefault="00624296" w:rsidP="00624296">
    <w:pPr>
      <w:pStyle w:val="Header"/>
      <w:jc w:val="right"/>
      <w:rPr>
        <w:szCs w:val="24"/>
      </w:rPr>
    </w:pPr>
    <w:r w:rsidRPr="00671A9D">
      <w:rPr>
        <w:szCs w:val="24"/>
      </w:rPr>
      <w:t xml:space="preserve">Papawee </w:t>
    </w:r>
    <w:proofErr w:type="spellStart"/>
    <w:r w:rsidRPr="00671A9D">
      <w:rPr>
        <w:szCs w:val="24"/>
      </w:rPr>
      <w:t>Chennavasin</w:t>
    </w:r>
    <w:proofErr w:type="spellEnd"/>
    <w:r w:rsidRPr="00671A9D">
      <w:rPr>
        <w:szCs w:val="24"/>
      </w:rPr>
      <w:t xml:space="preserve"> </w:t>
    </w:r>
    <w:r w:rsidR="00671A9D" w:rsidRPr="00671A9D">
      <w:rPr>
        <w:szCs w:val="24"/>
      </w:rPr>
      <w:t>6778310730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C0C"/>
    <w:multiLevelType w:val="hybridMultilevel"/>
    <w:tmpl w:val="0640197E"/>
    <w:lvl w:ilvl="0" w:tplc="E746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F0920"/>
    <w:multiLevelType w:val="multilevel"/>
    <w:tmpl w:val="8CA0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C3C51"/>
    <w:multiLevelType w:val="multilevel"/>
    <w:tmpl w:val="B0E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016D2"/>
    <w:multiLevelType w:val="multilevel"/>
    <w:tmpl w:val="698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4358F"/>
    <w:multiLevelType w:val="hybridMultilevel"/>
    <w:tmpl w:val="E7AA1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CF4FE7"/>
    <w:multiLevelType w:val="multilevel"/>
    <w:tmpl w:val="33C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E7BA4"/>
    <w:multiLevelType w:val="hybridMultilevel"/>
    <w:tmpl w:val="1B980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480FCE"/>
    <w:multiLevelType w:val="multilevel"/>
    <w:tmpl w:val="2172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434D5"/>
    <w:multiLevelType w:val="multilevel"/>
    <w:tmpl w:val="22D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A6422"/>
    <w:multiLevelType w:val="multilevel"/>
    <w:tmpl w:val="58008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0595F"/>
    <w:multiLevelType w:val="multilevel"/>
    <w:tmpl w:val="CAE4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26168"/>
    <w:multiLevelType w:val="multilevel"/>
    <w:tmpl w:val="72C0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745150590">
    <w:abstractNumId w:val="11"/>
  </w:num>
  <w:num w:numId="2" w16cid:durableId="2049184528">
    <w:abstractNumId w:val="0"/>
  </w:num>
  <w:num w:numId="3" w16cid:durableId="509829537">
    <w:abstractNumId w:val="2"/>
  </w:num>
  <w:num w:numId="4" w16cid:durableId="1127579552">
    <w:abstractNumId w:val="8"/>
  </w:num>
  <w:num w:numId="5" w16cid:durableId="294606433">
    <w:abstractNumId w:val="9"/>
  </w:num>
  <w:num w:numId="6" w16cid:durableId="1559395491">
    <w:abstractNumId w:val="5"/>
  </w:num>
  <w:num w:numId="7" w16cid:durableId="823400924">
    <w:abstractNumId w:val="10"/>
  </w:num>
  <w:num w:numId="8" w16cid:durableId="1069423517">
    <w:abstractNumId w:val="3"/>
  </w:num>
  <w:num w:numId="9" w16cid:durableId="1191186684">
    <w:abstractNumId w:val="4"/>
  </w:num>
  <w:num w:numId="10" w16cid:durableId="306789327">
    <w:abstractNumId w:val="6"/>
  </w:num>
  <w:num w:numId="11" w16cid:durableId="1886866630">
    <w:abstractNumId w:val="7"/>
  </w:num>
  <w:num w:numId="12" w16cid:durableId="69627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5F"/>
    <w:rsid w:val="00002230"/>
    <w:rsid w:val="0007500C"/>
    <w:rsid w:val="00095D4D"/>
    <w:rsid w:val="000D6F51"/>
    <w:rsid w:val="00185063"/>
    <w:rsid w:val="00231642"/>
    <w:rsid w:val="002561FF"/>
    <w:rsid w:val="002A5546"/>
    <w:rsid w:val="003D2F12"/>
    <w:rsid w:val="00411775"/>
    <w:rsid w:val="00425F92"/>
    <w:rsid w:val="00462035"/>
    <w:rsid w:val="00493E61"/>
    <w:rsid w:val="00494DB4"/>
    <w:rsid w:val="004C6BCD"/>
    <w:rsid w:val="005F0C98"/>
    <w:rsid w:val="00602EEE"/>
    <w:rsid w:val="00606C3F"/>
    <w:rsid w:val="00624296"/>
    <w:rsid w:val="00671A9D"/>
    <w:rsid w:val="006965E0"/>
    <w:rsid w:val="006C0594"/>
    <w:rsid w:val="006D0A74"/>
    <w:rsid w:val="00715A14"/>
    <w:rsid w:val="00747BEB"/>
    <w:rsid w:val="007C58AB"/>
    <w:rsid w:val="007F3B7A"/>
    <w:rsid w:val="00806872"/>
    <w:rsid w:val="00856D89"/>
    <w:rsid w:val="008620FA"/>
    <w:rsid w:val="00870D8E"/>
    <w:rsid w:val="008A49C6"/>
    <w:rsid w:val="00944D65"/>
    <w:rsid w:val="009A6B5F"/>
    <w:rsid w:val="009D6E94"/>
    <w:rsid w:val="00AA6540"/>
    <w:rsid w:val="00AE3652"/>
    <w:rsid w:val="00AE70C2"/>
    <w:rsid w:val="00B024ED"/>
    <w:rsid w:val="00B02EC5"/>
    <w:rsid w:val="00C052B1"/>
    <w:rsid w:val="00C05C4C"/>
    <w:rsid w:val="00C24DA4"/>
    <w:rsid w:val="00CF491B"/>
    <w:rsid w:val="00DF3B56"/>
    <w:rsid w:val="00E6767F"/>
    <w:rsid w:val="00ED5121"/>
    <w:rsid w:val="00ED7C77"/>
    <w:rsid w:val="00F1698A"/>
    <w:rsid w:val="00F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3AFC"/>
  <w15:chartTrackingRefBased/>
  <w15:docId w15:val="{737F0CC2-6D45-4C0D-96AF-0EF7A9F1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B5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B5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5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9A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A6B5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A6B5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A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2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0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itation-15">
    <w:name w:val="citation-15"/>
    <w:basedOn w:val="DefaultParagraphFont"/>
    <w:rsid w:val="002561FF"/>
  </w:style>
  <w:style w:type="character" w:customStyle="1" w:styleId="citation-14">
    <w:name w:val="citation-14"/>
    <w:basedOn w:val="DefaultParagraphFont"/>
    <w:rsid w:val="00F94811"/>
  </w:style>
  <w:style w:type="paragraph" w:styleId="Header">
    <w:name w:val="header"/>
    <w:basedOn w:val="Normal"/>
    <w:link w:val="HeaderChar"/>
    <w:uiPriority w:val="99"/>
    <w:unhideWhenUsed/>
    <w:rsid w:val="0062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96"/>
  </w:style>
  <w:style w:type="paragraph" w:styleId="Footer">
    <w:name w:val="footer"/>
    <w:basedOn w:val="Normal"/>
    <w:link w:val="FooterChar"/>
    <w:uiPriority w:val="99"/>
    <w:unhideWhenUsed/>
    <w:rsid w:val="0062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E5C-93C6-49CF-B1CA-7245F0AD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Oomz Zzz</dc:creator>
  <cp:keywords/>
  <dc:description/>
  <cp:lastModifiedBy>Oomz Zzz</cp:lastModifiedBy>
  <cp:revision>47</cp:revision>
  <dcterms:created xsi:type="dcterms:W3CDTF">2026-05-03T17:34:00Z</dcterms:created>
  <dcterms:modified xsi:type="dcterms:W3CDTF">2026-05-03T18:50:00Z</dcterms:modified>
</cp:coreProperties>
</file>