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90089" w14:textId="77777777" w:rsidR="00164CA3" w:rsidRDefault="00000000">
      <w:pPr>
        <w:spacing w:after="80"/>
        <w:jc w:val="center"/>
      </w:pPr>
      <w:r>
        <w:rPr>
          <w:rFonts w:cs="Arial"/>
          <w:b/>
          <w:bCs/>
          <w:color w:val="C2185B"/>
          <w:sz w:val="52"/>
          <w:szCs w:val="52"/>
        </w:rPr>
        <w:t>OonJai Breast Partners</w:t>
      </w:r>
    </w:p>
    <w:p w14:paraId="1F066CED" w14:textId="77777777" w:rsidR="00164CA3" w:rsidRDefault="00000000">
      <w:pPr>
        <w:spacing w:after="60"/>
        <w:jc w:val="center"/>
      </w:pPr>
      <w:r>
        <w:rPr>
          <w:rFonts w:cs="Arial"/>
          <w:color w:val="757575"/>
          <w:sz w:val="26"/>
          <w:szCs w:val="26"/>
        </w:rPr>
        <w:t>AI-Guided Breast Cancer Education &amp; Real-World Evidence Platform</w:t>
      </w:r>
    </w:p>
    <w:p w14:paraId="548D7BD1" w14:textId="77777777" w:rsidR="00164CA3" w:rsidRDefault="00000000">
      <w:pPr>
        <w:spacing w:after="60"/>
        <w:jc w:val="center"/>
      </w:pPr>
      <w:r>
        <w:rPr>
          <w:rFonts w:cs="Arial"/>
          <w:color w:val="757575"/>
          <w:sz w:val="20"/>
          <w:szCs w:val="20"/>
        </w:rPr>
        <w:t>Revised Project Report  |  Chayanee Sae-lim, MD  |  Clinical Science Ph.D. Program, Chulalongkorn University</w:t>
      </w:r>
    </w:p>
    <w:p w14:paraId="52D3D1D9" w14:textId="77777777" w:rsidR="00164CA3" w:rsidRDefault="00000000">
      <w:pPr>
        <w:spacing w:after="300"/>
        <w:jc w:val="center"/>
      </w:pPr>
      <w:r>
        <w:rPr>
          <w:rFonts w:cs="Arial"/>
          <w:color w:val="757575"/>
          <w:sz w:val="20"/>
          <w:szCs w:val="20"/>
        </w:rPr>
        <w:t>Revised in response to Professor feedback  |  May 2026</w:t>
      </w:r>
    </w:p>
    <w:p w14:paraId="23265244" w14:textId="77777777" w:rsidR="00164CA3" w:rsidRDefault="00000000">
      <w:pPr>
        <w:pStyle w:val="Heading1"/>
        <w:pBdr>
          <w:bottom w:val="single" w:sz="8" w:space="4" w:color="C2185B"/>
        </w:pBdr>
      </w:pPr>
      <w:r>
        <w:t>1. Introduction</w:t>
      </w:r>
    </w:p>
    <w:p w14:paraId="102ECBC7" w14:textId="77777777" w:rsidR="00164CA3" w:rsidRDefault="00000000">
      <w:pPr>
        <w:spacing w:before="60" w:after="80"/>
      </w:pPr>
      <w:r>
        <w:rPr>
          <w:rFonts w:cs="Arial"/>
          <w:color w:val="212121"/>
        </w:rPr>
        <w:t>Breast cancer remains one of the most prevalent malignancies worldwide, creating substantial challenges in patient understanding, treatment adherence, and long-term survivorship care. Despite advancements in systemic therapy, targeted treatment, and precision surgery, many patients experience anxiety and confusion regarding treatment pathways.</w:t>
      </w:r>
    </w:p>
    <w:p w14:paraId="6E4C594C" w14:textId="77777777" w:rsidR="00164CA3" w:rsidRDefault="00000000">
      <w:pPr>
        <w:spacing w:before="60" w:after="80"/>
      </w:pPr>
      <w:r>
        <w:rPr>
          <w:rFonts w:cs="Arial"/>
          <w:color w:val="212121"/>
        </w:rPr>
        <w:t>OonJai Breast Partners is a dual-purpose digital health platform that (1) delivers personalized, guideline-aligned breast cancer education through an AI-powered chatbot integrated with LINE Official Account, and (2) generates structured real-world evidence through longitudinal quality-of-life (QOL) and survival outcome registries. This revised report incorporates faculty feedback to strengthen the user journey analysis, business model clarity, revenue sustainability, content partnership definition, and competitive positioning.</w:t>
      </w:r>
    </w:p>
    <w:p w14:paraId="020AA7CF" w14:textId="77777777" w:rsidR="00164CA3" w:rsidRDefault="00164CA3">
      <w:pPr>
        <w:spacing w:before="120"/>
      </w:pPr>
    </w:p>
    <w:p w14:paraId="6DD45297" w14:textId="77777777" w:rsidR="00164CA3" w:rsidRDefault="00000000">
      <w:pPr>
        <w:pStyle w:val="Heading1"/>
        <w:pBdr>
          <w:bottom w:val="single" w:sz="8" w:space="4" w:color="C2185B"/>
        </w:pBdr>
      </w:pPr>
      <w:r>
        <w:t>2. User Journey and Value Proposition Analysis (Revised)</w:t>
      </w:r>
    </w:p>
    <w:p w14:paraId="3AA8C276"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The primary target users include breast cancer patients and caregivers requiring personalized treatment education. Secondary stakeholders include oncologists, researchers, and pharmaceutical partners interested in real-world outcome analytics.</w:t>
      </w:r>
    </w:p>
    <w:p w14:paraId="7738FEBB"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The platform’s value proposition centers on delivering guideline-aligned educational content tailored to patient clinical profiles, such as disease stage and molecular subtype. By integrating curated multimedia content, interactive learning modules, and treatment pathway visualization, the platform reduces uncertainty and improves health literacy. (Figire 1)</w:t>
      </w:r>
    </w:p>
    <w:p w14:paraId="60915247"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Simultaneously, structured quality-of-life questionnaires and survival status reporting generate longitudinal datasets that can inform research, policy development, and precision oncology strategies.</w:t>
      </w:r>
    </w:p>
    <w:p w14:paraId="420E61DB" w14:textId="77777777" w:rsidR="004814E6" w:rsidRPr="004814E6" w:rsidRDefault="004814E6" w:rsidP="004814E6">
      <w:pPr>
        <w:spacing w:before="100" w:beforeAutospacing="1" w:after="100" w:afterAutospacing="1"/>
        <w:rPr>
          <w:rFonts w:cs="Arial"/>
          <w:szCs w:val="24"/>
        </w:rPr>
      </w:pPr>
      <w:r w:rsidRPr="004814E6">
        <w:rPr>
          <w:rFonts w:cs="Arial"/>
          <w:szCs w:val="24"/>
        </w:rPr>
        <w:fldChar w:fldCharType="begin"/>
      </w:r>
      <w:r w:rsidRPr="004814E6">
        <w:rPr>
          <w:rFonts w:cs="Arial"/>
          <w:szCs w:val="24"/>
        </w:rPr>
        <w:instrText xml:space="preserve"> INCLUDEPICTURE "https://play-lh.googleusercontent.com/jSuWySmy_T3qzqyTkwtffwTeGLGnT5AfA00JFMlBNW3Hq8WXvFfXz7cpi70H2Pqra8H3=w240-h480-rw" \* MERGEFORMATINET </w:instrText>
      </w:r>
      <w:r w:rsidRPr="004814E6">
        <w:rPr>
          <w:rFonts w:cs="Arial"/>
          <w:szCs w:val="24"/>
        </w:rPr>
        <w:fldChar w:fldCharType="separate"/>
      </w:r>
      <w:r w:rsidRPr="004814E6">
        <w:rPr>
          <w:rFonts w:cs="Arial"/>
          <w:noProof/>
          <w:szCs w:val="24"/>
        </w:rPr>
        <w:drawing>
          <wp:inline distT="0" distB="0" distL="0" distR="0" wp14:anchorId="6D46D8BB" wp14:editId="2727BE1D">
            <wp:extent cx="1047001" cy="1047001"/>
            <wp:effectExtent l="0" t="0" r="0" b="0"/>
            <wp:docPr id="323067337" name="Picture 1" descr="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001" cy="1047001"/>
                    </a:xfrm>
                    <a:prstGeom prst="rect">
                      <a:avLst/>
                    </a:prstGeom>
                    <a:noFill/>
                    <a:ln>
                      <a:noFill/>
                    </a:ln>
                  </pic:spPr>
                </pic:pic>
              </a:graphicData>
            </a:graphic>
          </wp:inline>
        </w:drawing>
      </w:r>
      <w:r w:rsidRPr="004814E6">
        <w:rPr>
          <w:rFonts w:cs="Arial"/>
          <w:szCs w:val="24"/>
        </w:rPr>
        <w:fldChar w:fldCharType="end"/>
      </w:r>
    </w:p>
    <w:p w14:paraId="3CCCF643" w14:textId="77777777" w:rsidR="004814E6" w:rsidRPr="004814E6" w:rsidRDefault="004814E6" w:rsidP="004814E6">
      <w:pPr>
        <w:spacing w:before="100" w:beforeAutospacing="1" w:after="100" w:afterAutospacing="1"/>
        <w:rPr>
          <w:rFonts w:cs="Arial"/>
          <w:szCs w:val="24"/>
        </w:rPr>
      </w:pPr>
      <w:r w:rsidRPr="004814E6">
        <w:rPr>
          <w:rFonts w:cs="Arial"/>
          <w:noProof/>
          <w:szCs w:val="24"/>
        </w:rPr>
        <w:lastRenderedPageBreak/>
        <w:drawing>
          <wp:inline distT="0" distB="0" distL="0" distR="0" wp14:anchorId="4F1AB74F" wp14:editId="3AB515D5">
            <wp:extent cx="5706406" cy="3197625"/>
            <wp:effectExtent l="0" t="0" r="3175" b="0"/>
            <wp:docPr id="170344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47138" name=""/>
                    <pic:cNvPicPr/>
                  </pic:nvPicPr>
                  <pic:blipFill rotWithShape="1">
                    <a:blip r:embed="rId6"/>
                    <a:srcRect l="2082" t="17254" r="1886"/>
                    <a:stretch>
                      <a:fillRect/>
                    </a:stretch>
                  </pic:blipFill>
                  <pic:spPr bwMode="auto">
                    <a:xfrm>
                      <a:off x="0" y="0"/>
                      <a:ext cx="5706406" cy="3197625"/>
                    </a:xfrm>
                    <a:prstGeom prst="rect">
                      <a:avLst/>
                    </a:prstGeom>
                    <a:ln>
                      <a:noFill/>
                    </a:ln>
                    <a:extLst>
                      <a:ext uri="{53640926-AAD7-44D8-BBD7-CCE9431645EC}">
                        <a14:shadowObscured xmlns:a14="http://schemas.microsoft.com/office/drawing/2010/main"/>
                      </a:ext>
                    </a:extLst>
                  </pic:spPr>
                </pic:pic>
              </a:graphicData>
            </a:graphic>
          </wp:inline>
        </w:drawing>
      </w:r>
    </w:p>
    <w:p w14:paraId="1E102ACE" w14:textId="77777777" w:rsidR="004814E6" w:rsidRPr="004814E6" w:rsidRDefault="004814E6" w:rsidP="004814E6">
      <w:pPr>
        <w:spacing w:before="100" w:beforeAutospacing="1" w:after="100" w:afterAutospacing="1"/>
        <w:rPr>
          <w:rFonts w:cs="Arial"/>
          <w:szCs w:val="24"/>
        </w:rPr>
      </w:pPr>
      <w:r w:rsidRPr="004814E6">
        <w:rPr>
          <w:rFonts w:cs="Arial"/>
          <w:szCs w:val="24"/>
        </w:rPr>
        <w:t>Figure 1 An example of webpage that linked to line official account</w:t>
      </w:r>
    </w:p>
    <w:p w14:paraId="481F723E" w14:textId="77777777" w:rsidR="004814E6" w:rsidRPr="004814E6" w:rsidRDefault="004814E6">
      <w:pPr>
        <w:pStyle w:val="Heading2"/>
      </w:pPr>
    </w:p>
    <w:p w14:paraId="05715303" w14:textId="255BA6EC" w:rsidR="00164CA3" w:rsidRDefault="00000000">
      <w:pPr>
        <w:pStyle w:val="Heading2"/>
      </w:pPr>
      <w:r>
        <w:t>2.1 Existing User Journey — Pain Points Identified</w:t>
      </w:r>
    </w:p>
    <w:p w14:paraId="678A5090" w14:textId="77777777" w:rsidR="00164CA3" w:rsidRDefault="00000000">
      <w:pPr>
        <w:spacing w:before="60" w:after="80"/>
      </w:pPr>
      <w:r>
        <w:rPr>
          <w:rFonts w:cs="Arial"/>
          <w:color w:val="212121"/>
        </w:rPr>
        <w:t>The following table maps the patient journey across five clinical stages, contrasting the current standard experience with the OonJai-enhanced pathway, and defining quantitative success metrics for each stage.</w:t>
      </w:r>
    </w:p>
    <w:p w14:paraId="4041802D" w14:textId="77777777" w:rsidR="00164CA3" w:rsidRDefault="00164CA3">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0"/>
        <w:gridCol w:w="1560"/>
        <w:gridCol w:w="1560"/>
        <w:gridCol w:w="1560"/>
        <w:gridCol w:w="1560"/>
        <w:gridCol w:w="1560"/>
      </w:tblGrid>
      <w:tr w:rsidR="00164CA3" w14:paraId="1264CC88" w14:textId="77777777">
        <w:tc>
          <w:tcPr>
            <w:tcW w:w="1560" w:type="dxa"/>
            <w:tcBorders>
              <w:top w:val="single" w:sz="1" w:space="0" w:color="CCCCCC"/>
              <w:left w:val="single" w:sz="1" w:space="0" w:color="CCCCCC"/>
              <w:bottom w:val="single" w:sz="1" w:space="0" w:color="CCCCCC"/>
              <w:right w:val="single" w:sz="1" w:space="0" w:color="CCCCCC"/>
            </w:tcBorders>
            <w:shd w:val="clear" w:color="auto" w:fill="C2185B"/>
            <w:tcMar>
              <w:top w:w="60" w:type="dxa"/>
              <w:left w:w="100" w:type="dxa"/>
              <w:bottom w:w="60" w:type="dxa"/>
              <w:right w:w="100" w:type="dxa"/>
            </w:tcMar>
          </w:tcPr>
          <w:p w14:paraId="2BDF0C59" w14:textId="77777777" w:rsidR="00164CA3" w:rsidRDefault="00000000">
            <w:r>
              <w:rPr>
                <w:rFonts w:cs="Arial"/>
                <w:b/>
                <w:bCs/>
                <w:color w:val="C2185B"/>
                <w:sz w:val="18"/>
                <w:szCs w:val="18"/>
              </w:rPr>
              <w:t>Stage</w:t>
            </w:r>
          </w:p>
        </w:tc>
        <w:tc>
          <w:tcPr>
            <w:tcW w:w="1560" w:type="dxa"/>
            <w:tcBorders>
              <w:top w:val="single" w:sz="1" w:space="0" w:color="CCCCCC"/>
              <w:left w:val="single" w:sz="1" w:space="0" w:color="CCCCCC"/>
              <w:bottom w:val="single" w:sz="1" w:space="0" w:color="CCCCCC"/>
              <w:right w:val="single" w:sz="1" w:space="0" w:color="CCCCCC"/>
            </w:tcBorders>
            <w:shd w:val="clear" w:color="auto" w:fill="C2185B"/>
            <w:tcMar>
              <w:top w:w="60" w:type="dxa"/>
              <w:left w:w="100" w:type="dxa"/>
              <w:bottom w:w="60" w:type="dxa"/>
              <w:right w:w="100" w:type="dxa"/>
            </w:tcMar>
          </w:tcPr>
          <w:p w14:paraId="26E98F8B" w14:textId="77777777" w:rsidR="00164CA3" w:rsidRDefault="00000000">
            <w:r>
              <w:rPr>
                <w:rFonts w:cs="Arial"/>
                <w:b/>
                <w:bCs/>
                <w:color w:val="FFFFFF"/>
                <w:sz w:val="18"/>
                <w:szCs w:val="18"/>
              </w:rPr>
              <w:t>Diagnosis</w:t>
            </w:r>
          </w:p>
        </w:tc>
        <w:tc>
          <w:tcPr>
            <w:tcW w:w="1560" w:type="dxa"/>
            <w:tcBorders>
              <w:top w:val="single" w:sz="1" w:space="0" w:color="CCCCCC"/>
              <w:left w:val="single" w:sz="1" w:space="0" w:color="CCCCCC"/>
              <w:bottom w:val="single" w:sz="1" w:space="0" w:color="CCCCCC"/>
              <w:right w:val="single" w:sz="1" w:space="0" w:color="CCCCCC"/>
            </w:tcBorders>
            <w:shd w:val="clear" w:color="auto" w:fill="C2185B"/>
            <w:tcMar>
              <w:top w:w="60" w:type="dxa"/>
              <w:left w:w="100" w:type="dxa"/>
              <w:bottom w:w="60" w:type="dxa"/>
              <w:right w:w="100" w:type="dxa"/>
            </w:tcMar>
          </w:tcPr>
          <w:p w14:paraId="69349FD6" w14:textId="77777777" w:rsidR="00164CA3" w:rsidRDefault="00000000">
            <w:r>
              <w:rPr>
                <w:rFonts w:cs="Arial"/>
                <w:b/>
                <w:bCs/>
                <w:color w:val="FFFFFF"/>
                <w:sz w:val="18"/>
                <w:szCs w:val="18"/>
              </w:rPr>
              <w:t>Treatment Planning</w:t>
            </w:r>
          </w:p>
        </w:tc>
        <w:tc>
          <w:tcPr>
            <w:tcW w:w="1560" w:type="dxa"/>
            <w:tcBorders>
              <w:top w:val="single" w:sz="1" w:space="0" w:color="CCCCCC"/>
              <w:left w:val="single" w:sz="1" w:space="0" w:color="CCCCCC"/>
              <w:bottom w:val="single" w:sz="1" w:space="0" w:color="CCCCCC"/>
              <w:right w:val="single" w:sz="1" w:space="0" w:color="CCCCCC"/>
            </w:tcBorders>
            <w:shd w:val="clear" w:color="auto" w:fill="C2185B"/>
            <w:tcMar>
              <w:top w:w="60" w:type="dxa"/>
              <w:left w:w="100" w:type="dxa"/>
              <w:bottom w:w="60" w:type="dxa"/>
              <w:right w:w="100" w:type="dxa"/>
            </w:tcMar>
          </w:tcPr>
          <w:p w14:paraId="22E4B481" w14:textId="77777777" w:rsidR="00164CA3" w:rsidRDefault="00000000">
            <w:r>
              <w:rPr>
                <w:rFonts w:cs="Arial"/>
                <w:b/>
                <w:bCs/>
                <w:color w:val="FFFFFF"/>
                <w:sz w:val="18"/>
                <w:szCs w:val="18"/>
              </w:rPr>
              <w:t>Active Treatment</w:t>
            </w:r>
          </w:p>
        </w:tc>
        <w:tc>
          <w:tcPr>
            <w:tcW w:w="1560" w:type="dxa"/>
            <w:tcBorders>
              <w:top w:val="single" w:sz="1" w:space="0" w:color="CCCCCC"/>
              <w:left w:val="single" w:sz="1" w:space="0" w:color="CCCCCC"/>
              <w:bottom w:val="single" w:sz="1" w:space="0" w:color="CCCCCC"/>
              <w:right w:val="single" w:sz="1" w:space="0" w:color="CCCCCC"/>
            </w:tcBorders>
            <w:shd w:val="clear" w:color="auto" w:fill="C2185B"/>
            <w:tcMar>
              <w:top w:w="60" w:type="dxa"/>
              <w:left w:w="100" w:type="dxa"/>
              <w:bottom w:w="60" w:type="dxa"/>
              <w:right w:w="100" w:type="dxa"/>
            </w:tcMar>
          </w:tcPr>
          <w:p w14:paraId="3AED7196" w14:textId="77777777" w:rsidR="00164CA3" w:rsidRDefault="00000000">
            <w:r>
              <w:rPr>
                <w:rFonts w:cs="Arial"/>
                <w:b/>
                <w:bCs/>
                <w:color w:val="FFFFFF"/>
                <w:sz w:val="18"/>
                <w:szCs w:val="18"/>
              </w:rPr>
              <w:t>Survivorship</w:t>
            </w:r>
          </w:p>
        </w:tc>
        <w:tc>
          <w:tcPr>
            <w:tcW w:w="1560" w:type="dxa"/>
            <w:tcBorders>
              <w:top w:val="single" w:sz="1" w:space="0" w:color="CCCCCC"/>
              <w:left w:val="single" w:sz="1" w:space="0" w:color="CCCCCC"/>
              <w:bottom w:val="single" w:sz="1" w:space="0" w:color="CCCCCC"/>
              <w:right w:val="single" w:sz="1" w:space="0" w:color="CCCCCC"/>
            </w:tcBorders>
            <w:shd w:val="clear" w:color="auto" w:fill="C2185B"/>
            <w:tcMar>
              <w:top w:w="60" w:type="dxa"/>
              <w:left w:w="100" w:type="dxa"/>
              <w:bottom w:w="60" w:type="dxa"/>
              <w:right w:w="100" w:type="dxa"/>
            </w:tcMar>
          </w:tcPr>
          <w:p w14:paraId="422B4E3A" w14:textId="77777777" w:rsidR="00164CA3" w:rsidRDefault="00000000">
            <w:r>
              <w:rPr>
                <w:rFonts w:cs="Arial"/>
                <w:b/>
                <w:bCs/>
                <w:color w:val="FFFFFF"/>
                <w:sz w:val="18"/>
                <w:szCs w:val="18"/>
              </w:rPr>
              <w:t>Long-Term Follow-up</w:t>
            </w:r>
          </w:p>
        </w:tc>
      </w:tr>
      <w:tr w:rsidR="00164CA3" w14:paraId="0276CC70" w14:textId="77777777">
        <w:tc>
          <w:tcPr>
            <w:tcW w:w="1560" w:type="dxa"/>
            <w:tcBorders>
              <w:top w:val="single" w:sz="1" w:space="0" w:color="CCCCCC"/>
              <w:left w:val="single" w:sz="1" w:space="0" w:color="CCCCCC"/>
              <w:bottom w:val="single" w:sz="1" w:space="0" w:color="CCCCCC"/>
              <w:right w:val="single" w:sz="1" w:space="0" w:color="CCCCCC"/>
            </w:tcBorders>
            <w:shd w:val="clear" w:color="auto" w:fill="F5F5F5"/>
            <w:tcMar>
              <w:top w:w="60" w:type="dxa"/>
              <w:left w:w="100" w:type="dxa"/>
              <w:bottom w:w="60" w:type="dxa"/>
              <w:right w:w="100" w:type="dxa"/>
            </w:tcMar>
          </w:tcPr>
          <w:p w14:paraId="40073F7E" w14:textId="77777777" w:rsidR="00164CA3" w:rsidRDefault="00000000">
            <w:r>
              <w:rPr>
                <w:rFonts w:cs="Arial"/>
                <w:b/>
                <w:bCs/>
                <w:color w:val="C2185B"/>
                <w:sz w:val="18"/>
                <w:szCs w:val="18"/>
              </w:rPr>
              <w:t>Current Experience</w:t>
            </w:r>
          </w:p>
        </w:tc>
        <w:tc>
          <w:tcPr>
            <w:tcW w:w="1560" w:type="dxa"/>
            <w:tcBorders>
              <w:top w:val="single" w:sz="1" w:space="0" w:color="CCCCCC"/>
              <w:left w:val="single" w:sz="1" w:space="0" w:color="CCCCCC"/>
              <w:bottom w:val="single" w:sz="1" w:space="0" w:color="CCCCCC"/>
              <w:right w:val="single" w:sz="1" w:space="0" w:color="CCCCCC"/>
            </w:tcBorders>
            <w:shd w:val="clear" w:color="auto" w:fill="F5F5F5"/>
            <w:tcMar>
              <w:top w:w="60" w:type="dxa"/>
              <w:left w:w="100" w:type="dxa"/>
              <w:bottom w:w="60" w:type="dxa"/>
              <w:right w:w="100" w:type="dxa"/>
            </w:tcMar>
          </w:tcPr>
          <w:p w14:paraId="711BA68D" w14:textId="77777777" w:rsidR="00164CA3" w:rsidRDefault="00000000">
            <w:r>
              <w:rPr>
                <w:rFonts w:cs="Arial"/>
                <w:color w:val="212121"/>
                <w:sz w:val="18"/>
                <w:szCs w:val="18"/>
              </w:rPr>
              <w:t>Overwhelming info, anxiety, ↑ misinfo from internet</w:t>
            </w:r>
          </w:p>
        </w:tc>
        <w:tc>
          <w:tcPr>
            <w:tcW w:w="1560" w:type="dxa"/>
            <w:tcBorders>
              <w:top w:val="single" w:sz="1" w:space="0" w:color="CCCCCC"/>
              <w:left w:val="single" w:sz="1" w:space="0" w:color="CCCCCC"/>
              <w:bottom w:val="single" w:sz="1" w:space="0" w:color="CCCCCC"/>
              <w:right w:val="single" w:sz="1" w:space="0" w:color="CCCCCC"/>
            </w:tcBorders>
            <w:shd w:val="clear" w:color="auto" w:fill="F5F5F5"/>
            <w:tcMar>
              <w:top w:w="60" w:type="dxa"/>
              <w:left w:w="100" w:type="dxa"/>
              <w:bottom w:w="60" w:type="dxa"/>
              <w:right w:w="100" w:type="dxa"/>
            </w:tcMar>
          </w:tcPr>
          <w:p w14:paraId="4CD170FF" w14:textId="77777777" w:rsidR="00164CA3" w:rsidRDefault="00000000">
            <w:r>
              <w:rPr>
                <w:rFonts w:cs="Arial"/>
                <w:color w:val="212121"/>
                <w:sz w:val="18"/>
                <w:szCs w:val="18"/>
              </w:rPr>
              <w:t>Long clinic wait, limited time with doctor</w:t>
            </w:r>
          </w:p>
        </w:tc>
        <w:tc>
          <w:tcPr>
            <w:tcW w:w="1560" w:type="dxa"/>
            <w:tcBorders>
              <w:top w:val="single" w:sz="1" w:space="0" w:color="CCCCCC"/>
              <w:left w:val="single" w:sz="1" w:space="0" w:color="CCCCCC"/>
              <w:bottom w:val="single" w:sz="1" w:space="0" w:color="CCCCCC"/>
              <w:right w:val="single" w:sz="1" w:space="0" w:color="CCCCCC"/>
            </w:tcBorders>
            <w:shd w:val="clear" w:color="auto" w:fill="F5F5F5"/>
            <w:tcMar>
              <w:top w:w="60" w:type="dxa"/>
              <w:left w:w="100" w:type="dxa"/>
              <w:bottom w:w="60" w:type="dxa"/>
              <w:right w:w="100" w:type="dxa"/>
            </w:tcMar>
          </w:tcPr>
          <w:p w14:paraId="19E8D78E" w14:textId="77777777" w:rsidR="00164CA3" w:rsidRDefault="00000000">
            <w:r>
              <w:rPr>
                <w:rFonts w:cs="Arial"/>
                <w:color w:val="212121"/>
                <w:sz w:val="18"/>
                <w:szCs w:val="18"/>
              </w:rPr>
              <w:t>Unclear SE management, poor adherence ~60%</w:t>
            </w:r>
          </w:p>
        </w:tc>
        <w:tc>
          <w:tcPr>
            <w:tcW w:w="1560" w:type="dxa"/>
            <w:tcBorders>
              <w:top w:val="single" w:sz="1" w:space="0" w:color="CCCCCC"/>
              <w:left w:val="single" w:sz="1" w:space="0" w:color="CCCCCC"/>
              <w:bottom w:val="single" w:sz="1" w:space="0" w:color="CCCCCC"/>
              <w:right w:val="single" w:sz="1" w:space="0" w:color="CCCCCC"/>
            </w:tcBorders>
            <w:shd w:val="clear" w:color="auto" w:fill="F5F5F5"/>
            <w:tcMar>
              <w:top w:w="60" w:type="dxa"/>
              <w:left w:w="100" w:type="dxa"/>
              <w:bottom w:w="60" w:type="dxa"/>
              <w:right w:w="100" w:type="dxa"/>
            </w:tcMar>
          </w:tcPr>
          <w:p w14:paraId="14A2322A" w14:textId="77777777" w:rsidR="00164CA3" w:rsidRDefault="00000000">
            <w:r>
              <w:rPr>
                <w:rFonts w:cs="Arial"/>
                <w:color w:val="212121"/>
                <w:sz w:val="18"/>
                <w:szCs w:val="18"/>
              </w:rPr>
              <w:t>Unstructured follow-up, fear of recurrence</w:t>
            </w:r>
          </w:p>
        </w:tc>
        <w:tc>
          <w:tcPr>
            <w:tcW w:w="1560" w:type="dxa"/>
            <w:tcBorders>
              <w:top w:val="single" w:sz="1" w:space="0" w:color="CCCCCC"/>
              <w:left w:val="single" w:sz="1" w:space="0" w:color="CCCCCC"/>
              <w:bottom w:val="single" w:sz="1" w:space="0" w:color="CCCCCC"/>
              <w:right w:val="single" w:sz="1" w:space="0" w:color="CCCCCC"/>
            </w:tcBorders>
            <w:shd w:val="clear" w:color="auto" w:fill="F5F5F5"/>
            <w:tcMar>
              <w:top w:w="60" w:type="dxa"/>
              <w:left w:w="100" w:type="dxa"/>
              <w:bottom w:w="60" w:type="dxa"/>
              <w:right w:w="100" w:type="dxa"/>
            </w:tcMar>
          </w:tcPr>
          <w:p w14:paraId="2D6B24FD" w14:textId="77777777" w:rsidR="00164CA3" w:rsidRDefault="00000000">
            <w:r>
              <w:rPr>
                <w:rFonts w:cs="Arial"/>
                <w:color w:val="212121"/>
                <w:sz w:val="18"/>
                <w:szCs w:val="18"/>
              </w:rPr>
              <w:t>No structured QOL monitoring</w:t>
            </w:r>
          </w:p>
        </w:tc>
      </w:tr>
      <w:tr w:rsidR="00164CA3" w14:paraId="06E7670D" w14:textId="77777777">
        <w:tc>
          <w:tcPr>
            <w:tcW w:w="1560" w:type="dxa"/>
            <w:tcBorders>
              <w:top w:val="single" w:sz="1" w:space="0" w:color="CCCCCC"/>
              <w:left w:val="single" w:sz="1" w:space="0" w:color="CCCCCC"/>
              <w:bottom w:val="single" w:sz="1" w:space="0" w:color="CCCCCC"/>
              <w:right w:val="single" w:sz="1" w:space="0" w:color="CCCCCC"/>
            </w:tcBorders>
            <w:shd w:val="clear" w:color="auto" w:fill="FCE4EC"/>
            <w:tcMar>
              <w:top w:w="60" w:type="dxa"/>
              <w:left w:w="100" w:type="dxa"/>
              <w:bottom w:w="60" w:type="dxa"/>
              <w:right w:w="100" w:type="dxa"/>
            </w:tcMar>
          </w:tcPr>
          <w:p w14:paraId="228DA5F4" w14:textId="77777777" w:rsidR="00164CA3" w:rsidRDefault="00000000">
            <w:r>
              <w:rPr>
                <w:rFonts w:cs="Arial"/>
                <w:b/>
                <w:bCs/>
                <w:color w:val="C2185B"/>
                <w:sz w:val="18"/>
                <w:szCs w:val="18"/>
              </w:rPr>
              <w:t>With OonJai</w:t>
            </w:r>
          </w:p>
        </w:tc>
        <w:tc>
          <w:tcPr>
            <w:tcW w:w="1560" w:type="dxa"/>
            <w:tcBorders>
              <w:top w:val="single" w:sz="1" w:space="0" w:color="CCCCCC"/>
              <w:left w:val="single" w:sz="1" w:space="0" w:color="CCCCCC"/>
              <w:bottom w:val="single" w:sz="1" w:space="0" w:color="CCCCCC"/>
              <w:right w:val="single" w:sz="1" w:space="0" w:color="CCCCCC"/>
            </w:tcBorders>
            <w:shd w:val="clear" w:color="auto" w:fill="FCE4EC"/>
            <w:tcMar>
              <w:top w:w="60" w:type="dxa"/>
              <w:left w:w="100" w:type="dxa"/>
              <w:bottom w:w="60" w:type="dxa"/>
              <w:right w:w="100" w:type="dxa"/>
            </w:tcMar>
          </w:tcPr>
          <w:p w14:paraId="2F243D23" w14:textId="77777777" w:rsidR="00164CA3" w:rsidRDefault="00000000">
            <w:r>
              <w:rPr>
                <w:rFonts w:cs="Arial"/>
                <w:color w:val="212121"/>
                <w:sz w:val="18"/>
                <w:szCs w:val="18"/>
              </w:rPr>
              <w:t>Personalized content by subtype within 24hr</w:t>
            </w:r>
          </w:p>
        </w:tc>
        <w:tc>
          <w:tcPr>
            <w:tcW w:w="1560" w:type="dxa"/>
            <w:tcBorders>
              <w:top w:val="single" w:sz="1" w:space="0" w:color="CCCCCC"/>
              <w:left w:val="single" w:sz="1" w:space="0" w:color="CCCCCC"/>
              <w:bottom w:val="single" w:sz="1" w:space="0" w:color="CCCCCC"/>
              <w:right w:val="single" w:sz="1" w:space="0" w:color="CCCCCC"/>
            </w:tcBorders>
            <w:shd w:val="clear" w:color="auto" w:fill="FCE4EC"/>
            <w:tcMar>
              <w:top w:w="60" w:type="dxa"/>
              <w:left w:w="100" w:type="dxa"/>
              <w:bottom w:w="60" w:type="dxa"/>
              <w:right w:w="100" w:type="dxa"/>
            </w:tcMar>
          </w:tcPr>
          <w:p w14:paraId="1C4A3ABD" w14:textId="77777777" w:rsidR="00164CA3" w:rsidRDefault="00000000">
            <w:r>
              <w:rPr>
                <w:rFonts w:cs="Arial"/>
                <w:color w:val="212121"/>
                <w:sz w:val="18"/>
                <w:szCs w:val="18"/>
              </w:rPr>
              <w:t>AI pathway visualization, Q&amp;A prep tool</w:t>
            </w:r>
          </w:p>
        </w:tc>
        <w:tc>
          <w:tcPr>
            <w:tcW w:w="1560" w:type="dxa"/>
            <w:tcBorders>
              <w:top w:val="single" w:sz="1" w:space="0" w:color="CCCCCC"/>
              <w:left w:val="single" w:sz="1" w:space="0" w:color="CCCCCC"/>
              <w:bottom w:val="single" w:sz="1" w:space="0" w:color="CCCCCC"/>
              <w:right w:val="single" w:sz="1" w:space="0" w:color="CCCCCC"/>
            </w:tcBorders>
            <w:shd w:val="clear" w:color="auto" w:fill="FCE4EC"/>
            <w:tcMar>
              <w:top w:w="60" w:type="dxa"/>
              <w:left w:w="100" w:type="dxa"/>
              <w:bottom w:w="60" w:type="dxa"/>
              <w:right w:w="100" w:type="dxa"/>
            </w:tcMar>
          </w:tcPr>
          <w:p w14:paraId="66BC2206" w14:textId="77777777" w:rsidR="00164CA3" w:rsidRDefault="00000000">
            <w:r>
              <w:rPr>
                <w:rFonts w:cs="Arial"/>
                <w:color w:val="212121"/>
                <w:sz w:val="18"/>
                <w:szCs w:val="18"/>
              </w:rPr>
              <w:t>Gamified adherence tracker, chatbot SE support</w:t>
            </w:r>
          </w:p>
        </w:tc>
        <w:tc>
          <w:tcPr>
            <w:tcW w:w="1560" w:type="dxa"/>
            <w:tcBorders>
              <w:top w:val="single" w:sz="1" w:space="0" w:color="CCCCCC"/>
              <w:left w:val="single" w:sz="1" w:space="0" w:color="CCCCCC"/>
              <w:bottom w:val="single" w:sz="1" w:space="0" w:color="CCCCCC"/>
              <w:right w:val="single" w:sz="1" w:space="0" w:color="CCCCCC"/>
            </w:tcBorders>
            <w:shd w:val="clear" w:color="auto" w:fill="FCE4EC"/>
            <w:tcMar>
              <w:top w:w="60" w:type="dxa"/>
              <w:left w:w="100" w:type="dxa"/>
              <w:bottom w:w="60" w:type="dxa"/>
              <w:right w:w="100" w:type="dxa"/>
            </w:tcMar>
          </w:tcPr>
          <w:p w14:paraId="5A723750" w14:textId="77777777" w:rsidR="00164CA3" w:rsidRDefault="00000000">
            <w:r>
              <w:rPr>
                <w:rFonts w:cs="Arial"/>
                <w:color w:val="212121"/>
                <w:sz w:val="18"/>
                <w:szCs w:val="18"/>
              </w:rPr>
              <w:t>Curated survivorship content, community</w:t>
            </w:r>
          </w:p>
        </w:tc>
        <w:tc>
          <w:tcPr>
            <w:tcW w:w="1560" w:type="dxa"/>
            <w:tcBorders>
              <w:top w:val="single" w:sz="1" w:space="0" w:color="CCCCCC"/>
              <w:left w:val="single" w:sz="1" w:space="0" w:color="CCCCCC"/>
              <w:bottom w:val="single" w:sz="1" w:space="0" w:color="CCCCCC"/>
              <w:right w:val="single" w:sz="1" w:space="0" w:color="CCCCCC"/>
            </w:tcBorders>
            <w:shd w:val="clear" w:color="auto" w:fill="FCE4EC"/>
            <w:tcMar>
              <w:top w:w="60" w:type="dxa"/>
              <w:left w:w="100" w:type="dxa"/>
              <w:bottom w:w="60" w:type="dxa"/>
              <w:right w:w="100" w:type="dxa"/>
            </w:tcMar>
          </w:tcPr>
          <w:p w14:paraId="6AC0F0EB" w14:textId="77777777" w:rsidR="00164CA3" w:rsidRDefault="00000000">
            <w:r>
              <w:rPr>
                <w:rFonts w:cs="Arial"/>
                <w:color w:val="212121"/>
                <w:sz w:val="18"/>
                <w:szCs w:val="18"/>
              </w:rPr>
              <w:t>Automated QOL surveys, outcome registry</w:t>
            </w:r>
          </w:p>
        </w:tc>
      </w:tr>
      <w:tr w:rsidR="00164CA3" w14:paraId="1AF44F01" w14:textId="77777777">
        <w:tc>
          <w:tcPr>
            <w:tcW w:w="1560" w:type="dxa"/>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66924FA" w14:textId="77777777" w:rsidR="00164CA3" w:rsidRDefault="00000000">
            <w:r>
              <w:rPr>
                <w:rFonts w:cs="Arial"/>
                <w:b/>
                <w:bCs/>
                <w:color w:val="C2185B"/>
                <w:sz w:val="18"/>
                <w:szCs w:val="18"/>
              </w:rPr>
              <w:t>Key Metric</w:t>
            </w:r>
          </w:p>
        </w:tc>
        <w:tc>
          <w:tcPr>
            <w:tcW w:w="1560" w:type="dxa"/>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3ABC810F" w14:textId="77777777" w:rsidR="00164CA3" w:rsidRDefault="00000000">
            <w:r>
              <w:rPr>
                <w:rFonts w:cs="Arial"/>
                <w:color w:val="2E7D32"/>
                <w:sz w:val="18"/>
                <w:szCs w:val="18"/>
              </w:rPr>
              <w:t>Anxiety score (GAD-7) ↓ target 30%</w:t>
            </w:r>
          </w:p>
        </w:tc>
        <w:tc>
          <w:tcPr>
            <w:tcW w:w="1560" w:type="dxa"/>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CAFE80D" w14:textId="77777777" w:rsidR="00164CA3" w:rsidRDefault="00000000">
            <w:r>
              <w:rPr>
                <w:rFonts w:cs="Arial"/>
                <w:color w:val="2E7D32"/>
                <w:sz w:val="18"/>
                <w:szCs w:val="18"/>
              </w:rPr>
              <w:t>Decision conflict scale ↓ 25%</w:t>
            </w:r>
          </w:p>
        </w:tc>
        <w:tc>
          <w:tcPr>
            <w:tcW w:w="1560" w:type="dxa"/>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33661F21" w14:textId="77777777" w:rsidR="00164CA3" w:rsidRDefault="00000000">
            <w:r>
              <w:rPr>
                <w:rFonts w:cs="Arial"/>
                <w:color w:val="2E7D32"/>
                <w:sz w:val="18"/>
                <w:szCs w:val="18"/>
              </w:rPr>
              <w:t>Adherence rate target ≥80% (vs baseline ~60%)</w:t>
            </w:r>
          </w:p>
        </w:tc>
        <w:tc>
          <w:tcPr>
            <w:tcW w:w="1560" w:type="dxa"/>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FC4F7BF" w14:textId="77777777" w:rsidR="00164CA3" w:rsidRDefault="00000000">
            <w:r>
              <w:rPr>
                <w:rFonts w:cs="Arial"/>
                <w:color w:val="2E7D32"/>
                <w:sz w:val="18"/>
                <w:szCs w:val="18"/>
              </w:rPr>
              <w:t>Recurrence fear scale ↓ 20%</w:t>
            </w:r>
          </w:p>
        </w:tc>
        <w:tc>
          <w:tcPr>
            <w:tcW w:w="1560" w:type="dxa"/>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2615484" w14:textId="77777777" w:rsidR="00164CA3" w:rsidRDefault="00000000">
            <w:r>
              <w:rPr>
                <w:rFonts w:cs="Arial"/>
                <w:color w:val="2E7D32"/>
                <w:sz w:val="18"/>
                <w:szCs w:val="18"/>
              </w:rPr>
              <w:t>QOL data capture rate target ≥70%</w:t>
            </w:r>
          </w:p>
        </w:tc>
      </w:tr>
    </w:tbl>
    <w:p w14:paraId="2987A75E" w14:textId="77777777" w:rsidR="00164CA3" w:rsidRDefault="00164CA3">
      <w:pPr>
        <w:spacing w:before="160"/>
      </w:pPr>
    </w:p>
    <w:p w14:paraId="542C77FF" w14:textId="77777777" w:rsidR="00164CA3" w:rsidRDefault="00000000">
      <w:pPr>
        <w:pStyle w:val="Heading2"/>
      </w:pPr>
      <w:r>
        <w:t>2.2 Where OonJai Intervenes — Key Value-Add Points</w:t>
      </w:r>
    </w:p>
    <w:tbl>
      <w:tblPr>
        <w:tblW w:w="9360" w:type="dxa"/>
        <w:tblBorders>
          <w:top w:val="single" w:sz="1" w:space="0" w:color="C2185B"/>
          <w:left w:val="single" w:sz="1" w:space="0" w:color="C2185B"/>
          <w:bottom w:val="single" w:sz="1" w:space="0" w:color="C2185B"/>
          <w:right w:val="single" w:sz="1" w:space="0" w:color="C2185B"/>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64CA3" w14:paraId="4496DB94" w14:textId="77777777">
        <w:tc>
          <w:tcPr>
            <w:tcW w:w="9360" w:type="dxa"/>
            <w:tcBorders>
              <w:top w:val="single" w:sz="1" w:space="0" w:color="C2185B"/>
              <w:left w:val="single" w:sz="1" w:space="0" w:color="C2185B"/>
              <w:bottom w:val="single" w:sz="1" w:space="0" w:color="C2185B"/>
              <w:right w:val="single" w:sz="1" w:space="0" w:color="C2185B"/>
            </w:tcBorders>
            <w:shd w:val="clear" w:color="auto" w:fill="FCE4EC"/>
            <w:tcMar>
              <w:top w:w="80" w:type="dxa"/>
              <w:left w:w="160" w:type="dxa"/>
              <w:bottom w:w="80" w:type="dxa"/>
              <w:right w:w="160" w:type="dxa"/>
            </w:tcMar>
          </w:tcPr>
          <w:p w14:paraId="490449FA" w14:textId="77777777" w:rsidR="00164CA3" w:rsidRDefault="00000000">
            <w:r>
              <w:rPr>
                <w:rFonts w:cs="Arial"/>
                <w:b/>
                <w:bCs/>
                <w:color w:val="C2185B"/>
              </w:rPr>
              <w:t>Critical Intervention Points</w:t>
            </w:r>
          </w:p>
        </w:tc>
      </w:tr>
      <w:tr w:rsidR="00164CA3" w14:paraId="3CB232D2" w14:textId="77777777">
        <w:tc>
          <w:tcPr>
            <w:tcW w:w="9360" w:type="dxa"/>
            <w:tcBorders>
              <w:top w:val="single" w:sz="1" w:space="0" w:color="C2185B"/>
              <w:left w:val="single" w:sz="1" w:space="0" w:color="C2185B"/>
              <w:bottom w:val="single" w:sz="1" w:space="0" w:color="C2185B"/>
              <w:right w:val="single" w:sz="1" w:space="0" w:color="C2185B"/>
            </w:tcBorders>
            <w:shd w:val="clear" w:color="auto" w:fill="FFFFFF"/>
            <w:tcMar>
              <w:top w:w="100" w:type="dxa"/>
              <w:left w:w="160" w:type="dxa"/>
              <w:bottom w:w="100" w:type="dxa"/>
              <w:right w:w="160" w:type="dxa"/>
            </w:tcMar>
          </w:tcPr>
          <w:p w14:paraId="6A729BD9" w14:textId="77777777" w:rsidR="00164CA3" w:rsidRDefault="00000000">
            <w:pPr>
              <w:spacing w:before="40" w:after="40"/>
            </w:pPr>
            <w:r>
              <w:rPr>
                <w:rFonts w:cs="Arial"/>
              </w:rPr>
              <w:lastRenderedPageBreak/>
              <w:t>Diagnosis stage: Immediate anxiety reduction through personalized content delivered within 24 hours of registration, reducing reliance on unverified internet sources (target: GAD-7 anxiety score reduction of 30%).</w:t>
            </w:r>
          </w:p>
          <w:p w14:paraId="49D1C0ED" w14:textId="77777777" w:rsidR="00164CA3" w:rsidRDefault="00000000">
            <w:pPr>
              <w:spacing w:before="40" w:after="40"/>
            </w:pPr>
            <w:r>
              <w:rPr>
                <w:rFonts w:cs="Arial"/>
              </w:rPr>
              <w:t>Treatment adherence: Gamified reminders and chatbot support targeting adherence rate improvement from ~60% baseline to ≥80%, a gap well-documented in Thai oncology literature.</w:t>
            </w:r>
          </w:p>
          <w:p w14:paraId="0EE32FEC" w14:textId="77777777" w:rsidR="00164CA3" w:rsidRDefault="00000000">
            <w:pPr>
              <w:spacing w:before="40" w:after="40"/>
            </w:pPr>
            <w:r>
              <w:rPr>
                <w:rFonts w:cs="Arial"/>
              </w:rPr>
              <w:t>Data collection: Automated QOL surveys (FACT-B, EQ-5D) with target ≥70% completion rate, generating a registry with research and commercial value.</w:t>
            </w:r>
          </w:p>
        </w:tc>
      </w:tr>
    </w:tbl>
    <w:p w14:paraId="1B548413" w14:textId="77777777" w:rsidR="00164CA3" w:rsidRDefault="00164CA3">
      <w:pPr>
        <w:spacing w:before="120"/>
      </w:pPr>
    </w:p>
    <w:p w14:paraId="145B81F4" w14:textId="77777777" w:rsidR="00164CA3" w:rsidRDefault="00000000">
      <w:pPr>
        <w:pStyle w:val="Heading1"/>
        <w:pBdr>
          <w:bottom w:val="single" w:sz="8" w:space="4" w:color="C2185B"/>
        </w:pBdr>
      </w:pPr>
      <w:r>
        <w:t>3. Phased Business Model (Revised)</w:t>
      </w:r>
    </w:p>
    <w:p w14:paraId="15953832" w14:textId="77777777" w:rsidR="00164CA3" w:rsidRDefault="00000000">
      <w:pPr>
        <w:spacing w:before="60" w:after="80"/>
      </w:pPr>
      <w:r>
        <w:rPr>
          <w:rFonts w:cs="Arial"/>
          <w:color w:val="212121"/>
        </w:rPr>
        <w:t>The business model is restructured into two distinct phases aligned with the medical innovation and regulatory lifecycle.</w:t>
      </w:r>
    </w:p>
    <w:p w14:paraId="1899A5BE" w14:textId="77777777" w:rsidR="00164CA3" w:rsidRDefault="00164CA3">
      <w:pPr>
        <w:spacing w:before="80"/>
      </w:pPr>
    </w:p>
    <w:p w14:paraId="597819C0" w14:textId="77777777" w:rsidR="00164CA3" w:rsidRDefault="00000000">
      <w:pPr>
        <w:pStyle w:val="Heading2"/>
      </w:pPr>
      <w:r>
        <w:t>Phase 1: Research Phase (Year 1–2)</w:t>
      </w:r>
    </w:p>
    <w:tbl>
      <w:tblPr>
        <w:tblW w:w="9360" w:type="dxa"/>
        <w:tblBorders>
          <w:top w:val="single" w:sz="1" w:space="0" w:color="C2185B"/>
          <w:left w:val="single" w:sz="1" w:space="0" w:color="C2185B"/>
          <w:bottom w:val="single" w:sz="1" w:space="0" w:color="C2185B"/>
          <w:right w:val="single" w:sz="1" w:space="0" w:color="C2185B"/>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64CA3" w14:paraId="3BAA87D7" w14:textId="77777777">
        <w:tc>
          <w:tcPr>
            <w:tcW w:w="9360" w:type="dxa"/>
            <w:tcBorders>
              <w:top w:val="single" w:sz="1" w:space="0" w:color="C2185B"/>
              <w:left w:val="single" w:sz="1" w:space="0" w:color="C2185B"/>
              <w:bottom w:val="single" w:sz="1" w:space="0" w:color="C2185B"/>
              <w:right w:val="single" w:sz="1" w:space="0" w:color="C2185B"/>
            </w:tcBorders>
            <w:shd w:val="clear" w:color="auto" w:fill="FCE4EC"/>
            <w:tcMar>
              <w:top w:w="80" w:type="dxa"/>
              <w:left w:w="160" w:type="dxa"/>
              <w:bottom w:w="80" w:type="dxa"/>
              <w:right w:w="160" w:type="dxa"/>
            </w:tcMar>
          </w:tcPr>
          <w:p w14:paraId="6F80CFA3" w14:textId="77777777" w:rsidR="00164CA3" w:rsidRDefault="00000000">
            <w:r>
              <w:rPr>
                <w:rFonts w:cs="Arial"/>
                <w:b/>
                <w:bCs/>
                <w:color w:val="C2185B"/>
              </w:rPr>
              <w:t>Phase 1 Overview</w:t>
            </w:r>
          </w:p>
        </w:tc>
      </w:tr>
      <w:tr w:rsidR="00164CA3" w14:paraId="35A526AB" w14:textId="77777777">
        <w:tc>
          <w:tcPr>
            <w:tcW w:w="9360" w:type="dxa"/>
            <w:tcBorders>
              <w:top w:val="single" w:sz="1" w:space="0" w:color="C2185B"/>
              <w:left w:val="single" w:sz="1" w:space="0" w:color="C2185B"/>
              <w:bottom w:val="single" w:sz="1" w:space="0" w:color="C2185B"/>
              <w:right w:val="single" w:sz="1" w:space="0" w:color="C2185B"/>
            </w:tcBorders>
            <w:shd w:val="clear" w:color="auto" w:fill="FFFFFF"/>
            <w:tcMar>
              <w:top w:w="100" w:type="dxa"/>
              <w:left w:w="160" w:type="dxa"/>
              <w:bottom w:w="100" w:type="dxa"/>
              <w:right w:w="160" w:type="dxa"/>
            </w:tcMar>
          </w:tcPr>
          <w:p w14:paraId="182A250A" w14:textId="77777777" w:rsidR="00164CA3" w:rsidRDefault="00000000">
            <w:r>
              <w:rPr>
                <w:rFonts w:cs="Arial"/>
                <w:b/>
                <w:bCs/>
                <w:color w:val="C2185B"/>
              </w:rPr>
              <w:t>Objective:</w:t>
            </w:r>
            <w:r>
              <w:rPr>
                <w:rFonts w:cs="Arial"/>
              </w:rPr>
              <w:t xml:space="preserve"> Establish clinical validity, build the patient registry, and generate IRB-approved evidence.</w:t>
            </w:r>
          </w:p>
          <w:p w14:paraId="23DBB39F" w14:textId="77777777" w:rsidR="00164CA3" w:rsidRDefault="00164CA3">
            <w:pPr>
              <w:spacing w:before="60"/>
            </w:pPr>
          </w:p>
          <w:p w14:paraId="3E869D13" w14:textId="77777777" w:rsidR="00164CA3" w:rsidRDefault="00000000">
            <w:r>
              <w:rPr>
                <w:rFonts w:cs="Arial"/>
                <w:b/>
                <w:bCs/>
              </w:rPr>
              <w:t>Key Activities:</w:t>
            </w:r>
          </w:p>
          <w:p w14:paraId="4D44B23A" w14:textId="77777777" w:rsidR="00164CA3" w:rsidRDefault="00000000">
            <w:pPr>
              <w:pStyle w:val="ListParagraph"/>
              <w:numPr>
                <w:ilvl w:val="0"/>
                <w:numId w:val="2"/>
              </w:numPr>
              <w:spacing w:before="40" w:after="40"/>
            </w:pPr>
            <w:r>
              <w:t>IRB submission and approval (Chulalongkorn University / KCMH Ethics Committee)</w:t>
            </w:r>
          </w:p>
          <w:p w14:paraId="5F762A1E" w14:textId="77777777" w:rsidR="00164CA3" w:rsidRDefault="00000000">
            <w:pPr>
              <w:pStyle w:val="ListParagraph"/>
              <w:numPr>
                <w:ilvl w:val="0"/>
                <w:numId w:val="2"/>
              </w:numPr>
              <w:spacing w:before="40" w:after="40"/>
            </w:pPr>
            <w:r>
              <w:t>Enroll pilot cohort of 100–300 breast cancer patients at KCMH</w:t>
            </w:r>
          </w:p>
          <w:p w14:paraId="533AB2F0" w14:textId="77777777" w:rsidR="00164CA3" w:rsidRDefault="00000000">
            <w:pPr>
              <w:pStyle w:val="ListParagraph"/>
              <w:numPr>
                <w:ilvl w:val="0"/>
                <w:numId w:val="2"/>
              </w:numPr>
              <w:spacing w:before="40" w:after="40"/>
            </w:pPr>
            <w:r>
              <w:t>Collect longitudinal QOL data (FACT-B), survival status, and treatment adherence metrics</w:t>
            </w:r>
          </w:p>
          <w:p w14:paraId="0DEF8C90" w14:textId="77777777" w:rsidR="00164CA3" w:rsidRDefault="00000000">
            <w:pPr>
              <w:pStyle w:val="ListParagraph"/>
              <w:numPr>
                <w:ilvl w:val="0"/>
                <w:numId w:val="2"/>
              </w:numPr>
              <w:spacing w:before="40" w:after="40"/>
            </w:pPr>
            <w:r>
              <w:t>Validate AI content personalization accuracy vs. NCCN/ESMO guidelines (target: ≥90% alignment)</w:t>
            </w:r>
          </w:p>
          <w:p w14:paraId="39F02EF4" w14:textId="77777777" w:rsidR="00164CA3" w:rsidRDefault="00000000">
            <w:pPr>
              <w:pStyle w:val="ListParagraph"/>
              <w:numPr>
                <w:ilvl w:val="0"/>
                <w:numId w:val="2"/>
              </w:numPr>
              <w:spacing w:before="40" w:after="40"/>
            </w:pPr>
            <w:r>
              <w:t>Apply for Health Systems Research Fund (HSRI) and NSTDA grants</w:t>
            </w:r>
          </w:p>
          <w:p w14:paraId="4E461AC9" w14:textId="77777777" w:rsidR="00164CA3" w:rsidRDefault="00000000">
            <w:pPr>
              <w:pStyle w:val="ListParagraph"/>
              <w:numPr>
                <w:ilvl w:val="0"/>
                <w:numId w:val="2"/>
              </w:numPr>
              <w:spacing w:before="40" w:after="40"/>
            </w:pPr>
            <w:r>
              <w:t>Publish clinical validation data to establish credibility for pharma partnerships</w:t>
            </w:r>
          </w:p>
          <w:p w14:paraId="727E6A2E" w14:textId="77777777" w:rsidR="00164CA3" w:rsidRDefault="00164CA3">
            <w:pPr>
              <w:spacing w:before="60"/>
            </w:pPr>
          </w:p>
          <w:p w14:paraId="76BC6CC1" w14:textId="77777777" w:rsidR="00164CA3" w:rsidRDefault="00000000">
            <w:r>
              <w:rPr>
                <w:rFonts w:cs="Arial"/>
                <w:b/>
                <w:bCs/>
                <w:color w:val="2E7D32"/>
              </w:rPr>
              <w:t>Success Metrics: ≥80% patient retention at 6 months | ≥70% QOL survey completion | ≥1 peer-reviewed publication</w:t>
            </w:r>
          </w:p>
        </w:tc>
      </w:tr>
    </w:tbl>
    <w:p w14:paraId="1BC94005" w14:textId="77777777" w:rsidR="00164CA3" w:rsidRDefault="00164CA3">
      <w:pPr>
        <w:spacing w:before="120"/>
      </w:pPr>
    </w:p>
    <w:p w14:paraId="12A9C7C0" w14:textId="77777777" w:rsidR="00164CA3" w:rsidRDefault="00000000">
      <w:pPr>
        <w:pStyle w:val="Heading2"/>
      </w:pPr>
      <w:r>
        <w:t>Phase 2: Venture Phase (Year 3+)</w:t>
      </w:r>
    </w:p>
    <w:tbl>
      <w:tblPr>
        <w:tblW w:w="9360" w:type="dxa"/>
        <w:tblBorders>
          <w:top w:val="single" w:sz="1" w:space="0" w:color="C2185B"/>
          <w:left w:val="single" w:sz="1" w:space="0" w:color="C2185B"/>
          <w:bottom w:val="single" w:sz="1" w:space="0" w:color="C2185B"/>
          <w:right w:val="single" w:sz="1" w:space="0" w:color="C2185B"/>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64CA3" w14:paraId="1B7C9DEA" w14:textId="77777777">
        <w:tc>
          <w:tcPr>
            <w:tcW w:w="9360" w:type="dxa"/>
            <w:tcBorders>
              <w:top w:val="single" w:sz="1" w:space="0" w:color="C2185B"/>
              <w:left w:val="single" w:sz="1" w:space="0" w:color="C2185B"/>
              <w:bottom w:val="single" w:sz="1" w:space="0" w:color="C2185B"/>
              <w:right w:val="single" w:sz="1" w:space="0" w:color="C2185B"/>
            </w:tcBorders>
            <w:shd w:val="clear" w:color="auto" w:fill="FCE4EC"/>
            <w:tcMar>
              <w:top w:w="80" w:type="dxa"/>
              <w:left w:w="160" w:type="dxa"/>
              <w:bottom w:w="80" w:type="dxa"/>
              <w:right w:w="160" w:type="dxa"/>
            </w:tcMar>
          </w:tcPr>
          <w:p w14:paraId="1660D29D" w14:textId="77777777" w:rsidR="00164CA3" w:rsidRDefault="00000000">
            <w:r>
              <w:rPr>
                <w:rFonts w:cs="Arial"/>
                <w:b/>
                <w:bCs/>
                <w:color w:val="C2185B"/>
              </w:rPr>
              <w:t>Phase 2 Overview</w:t>
            </w:r>
          </w:p>
        </w:tc>
      </w:tr>
      <w:tr w:rsidR="00164CA3" w14:paraId="7206A7E0" w14:textId="77777777">
        <w:tc>
          <w:tcPr>
            <w:tcW w:w="9360" w:type="dxa"/>
            <w:tcBorders>
              <w:top w:val="single" w:sz="1" w:space="0" w:color="C2185B"/>
              <w:left w:val="single" w:sz="1" w:space="0" w:color="C2185B"/>
              <w:bottom w:val="single" w:sz="1" w:space="0" w:color="C2185B"/>
              <w:right w:val="single" w:sz="1" w:space="0" w:color="C2185B"/>
            </w:tcBorders>
            <w:shd w:val="clear" w:color="auto" w:fill="FFFFFF"/>
            <w:tcMar>
              <w:top w:w="100" w:type="dxa"/>
              <w:left w:w="160" w:type="dxa"/>
              <w:bottom w:w="100" w:type="dxa"/>
              <w:right w:w="160" w:type="dxa"/>
            </w:tcMar>
          </w:tcPr>
          <w:p w14:paraId="16C2DB6C" w14:textId="77777777" w:rsidR="00164CA3" w:rsidRDefault="00000000">
            <w:r>
              <w:rPr>
                <w:rFonts w:cs="Arial"/>
                <w:b/>
                <w:bCs/>
                <w:color w:val="C2185B"/>
              </w:rPr>
              <w:t>Objective:</w:t>
            </w:r>
            <w:r>
              <w:rPr>
                <w:rFonts w:cs="Arial"/>
              </w:rPr>
              <w:t xml:space="preserve"> Scale platform to additional hospitals (B2B) and general public (B2C), operationalize revenue streams.</w:t>
            </w:r>
          </w:p>
          <w:p w14:paraId="4C6887AA" w14:textId="77777777" w:rsidR="00164CA3" w:rsidRDefault="00164CA3">
            <w:pPr>
              <w:spacing w:before="60"/>
            </w:pPr>
          </w:p>
          <w:p w14:paraId="61295EE5" w14:textId="77777777" w:rsidR="00164CA3" w:rsidRDefault="00000000">
            <w:r>
              <w:rPr>
                <w:rFonts w:cs="Arial"/>
                <w:b/>
                <w:bCs/>
              </w:rPr>
              <w:t>B2B Activities (Hospital/Clinic Partners):</w:t>
            </w:r>
          </w:p>
          <w:p w14:paraId="0B2A64BD" w14:textId="77777777" w:rsidR="00164CA3" w:rsidRDefault="00000000">
            <w:pPr>
              <w:pStyle w:val="ListParagraph"/>
              <w:numPr>
                <w:ilvl w:val="0"/>
                <w:numId w:val="2"/>
              </w:numPr>
              <w:spacing w:before="40" w:after="40"/>
            </w:pPr>
            <w:r>
              <w:lastRenderedPageBreak/>
              <w:t>Negotiate SaaS subscription agreements with 5–10 oncology centers in Thailand (Year 3)</w:t>
            </w:r>
          </w:p>
          <w:p w14:paraId="74676F90" w14:textId="77777777" w:rsidR="00164CA3" w:rsidRDefault="00000000">
            <w:pPr>
              <w:pStyle w:val="ListParagraph"/>
              <w:numPr>
                <w:ilvl w:val="0"/>
                <w:numId w:val="2"/>
              </w:numPr>
              <w:spacing w:before="40" w:after="40"/>
            </w:pPr>
            <w:r>
              <w:t>Provide clinician dashboard with patient-reported outcome (PRO) monitoring tools</w:t>
            </w:r>
          </w:p>
          <w:p w14:paraId="3F2FDD66" w14:textId="77777777" w:rsidR="00164CA3" w:rsidRDefault="00000000">
            <w:pPr>
              <w:pStyle w:val="ListParagraph"/>
              <w:numPr>
                <w:ilvl w:val="0"/>
                <w:numId w:val="2"/>
              </w:numPr>
              <w:spacing w:before="40" w:after="40"/>
            </w:pPr>
            <w:r>
              <w:t>Expand to ASEAN markets (Year 4–5): Malaysia, Vietnam, Indonesia</w:t>
            </w:r>
          </w:p>
          <w:p w14:paraId="2A4D7616" w14:textId="77777777" w:rsidR="00164CA3" w:rsidRDefault="00000000">
            <w:pPr>
              <w:spacing w:before="80"/>
            </w:pPr>
            <w:r>
              <w:rPr>
                <w:rFonts w:cs="Arial"/>
                <w:b/>
                <w:bCs/>
                <w:color w:val="C2185B"/>
              </w:rPr>
              <w:t>★ Real-World Evidence (RWE) Data Infrastructure Service (Key B2B Differentiator):</w:t>
            </w:r>
          </w:p>
          <w:p w14:paraId="78B7F046" w14:textId="77777777" w:rsidR="00164CA3" w:rsidRDefault="00000000">
            <w:pPr>
              <w:spacing w:before="40" w:after="60"/>
            </w:pPr>
            <w:r>
              <w:rPr>
                <w:rFonts w:cs="Arial"/>
              </w:rPr>
              <w:t>Beyond the patient-facing app, OonJai offers partner hospitals access to a structured, de-identified real-world oncology dataset — enabling them to generate their own institutional reports, quality benchmarks, and academic publications. This positions OonJai as a clinical data infrastructure partner, not just a software vendor.</w:t>
            </w:r>
          </w:p>
          <w:p w14:paraId="438995CE" w14:textId="77777777" w:rsidR="00164CA3" w:rsidRDefault="00000000">
            <w:pPr>
              <w:pStyle w:val="ListParagraph"/>
              <w:numPr>
                <w:ilvl w:val="0"/>
                <w:numId w:val="2"/>
              </w:numPr>
              <w:spacing w:before="40" w:after="40"/>
            </w:pPr>
            <w:r>
              <w:rPr>
                <w:b/>
                <w:bCs/>
              </w:rPr>
              <w:t xml:space="preserve">Structured Oncological Outcome Data: </w:t>
            </w:r>
            <w:r>
              <w:t>Patient-reported and clinician-verified data fields include TNM staging, molecular subtype (HR+/HER2+/TNBC), treatment received, disease status at each follow-up (NED / Recurrence / Metastasis / Death), and QOL trajectory (FACT-B, EQ-5D)</w:t>
            </w:r>
          </w:p>
          <w:p w14:paraId="1044DABA" w14:textId="77777777" w:rsidR="00164CA3" w:rsidRDefault="00000000">
            <w:pPr>
              <w:pStyle w:val="ListParagraph"/>
              <w:numPr>
                <w:ilvl w:val="0"/>
                <w:numId w:val="2"/>
              </w:numPr>
              <w:spacing w:before="40" w:after="40"/>
            </w:pPr>
            <w:r>
              <w:rPr>
                <w:b/>
                <w:bCs/>
              </w:rPr>
              <w:t xml:space="preserve">Hospital Research Dashboard: </w:t>
            </w:r>
            <w:r>
              <w:t>Partner hospitals receive a dedicated analytics portal to query their own patient cohort, generate survival curves, filter by subtype/stage/treatment, and export structured datasets in formats compatible with SPSS, R, and REDCap — enabling direct use for institutional research and hospital accreditation reporting</w:t>
            </w:r>
          </w:p>
          <w:p w14:paraId="3C87D1B6" w14:textId="77777777" w:rsidR="00164CA3" w:rsidRDefault="00000000">
            <w:pPr>
              <w:pStyle w:val="ListParagraph"/>
              <w:numPr>
                <w:ilvl w:val="0"/>
                <w:numId w:val="2"/>
              </w:numPr>
              <w:spacing w:before="40" w:after="40"/>
            </w:pPr>
            <w:r>
              <w:rPr>
                <w:b/>
                <w:bCs/>
              </w:rPr>
              <w:t xml:space="preserve">Institutional Reputation Value: </w:t>
            </w:r>
            <w:r>
              <w:t>Hospitals gain access to real-world survival data to publish outcome reports, benchmark against national registries (e.g., NCCR Thailand), strengthen JCI/HA accreditation submissions, and support faculty academic promotion — a strong non-financial incentive for hospital sign-on</w:t>
            </w:r>
          </w:p>
          <w:p w14:paraId="4184F92D" w14:textId="541215F3" w:rsidR="00164CA3" w:rsidRDefault="00000000">
            <w:pPr>
              <w:pStyle w:val="ListParagraph"/>
              <w:numPr>
                <w:ilvl w:val="0"/>
                <w:numId w:val="2"/>
              </w:numPr>
              <w:spacing w:before="40" w:after="40"/>
            </w:pPr>
            <w:r>
              <w:rPr>
                <w:b/>
                <w:bCs/>
              </w:rPr>
              <w:t xml:space="preserve">Data Governance: </w:t>
            </w:r>
            <w:r>
              <w:t>Each hospital can only access data from their own enrolled patients. Cross-institutional aggregated data (fully de-identified, PDPA-compliant) is available only via formal research data-sharing agreements reviewed by the ethics committee</w:t>
            </w:r>
          </w:p>
          <w:p w14:paraId="255806D2" w14:textId="77777777" w:rsidR="00164CA3" w:rsidRDefault="00164CA3">
            <w:pPr>
              <w:spacing w:before="60"/>
            </w:pPr>
          </w:p>
          <w:p w14:paraId="3D0A671A" w14:textId="77777777" w:rsidR="00164CA3" w:rsidRDefault="00000000">
            <w:r>
              <w:rPr>
                <w:rFonts w:cs="Arial"/>
                <w:b/>
                <w:bCs/>
              </w:rPr>
              <w:t>B2C Activities (General Public):</w:t>
            </w:r>
          </w:p>
          <w:p w14:paraId="53222EDB" w14:textId="77777777" w:rsidR="00164CA3" w:rsidRDefault="00000000">
            <w:pPr>
              <w:pStyle w:val="ListParagraph"/>
              <w:numPr>
                <w:ilvl w:val="0"/>
                <w:numId w:val="2"/>
              </w:numPr>
              <w:spacing w:before="40" w:after="40"/>
            </w:pPr>
            <w:r>
              <w:t>Open platform to self-referred patients, survivors, and high-risk individuals</w:t>
            </w:r>
          </w:p>
          <w:p w14:paraId="616C5C4D" w14:textId="77777777" w:rsidR="00164CA3" w:rsidRDefault="00000000">
            <w:pPr>
              <w:pStyle w:val="ListParagraph"/>
              <w:numPr>
                <w:ilvl w:val="0"/>
                <w:numId w:val="2"/>
              </w:numPr>
              <w:spacing w:before="40" w:after="40"/>
            </w:pPr>
            <w:r>
              <w:t>Launch freemium model: free core content, premium AI-personalized risk reports</w:t>
            </w:r>
          </w:p>
          <w:p w14:paraId="151DE086" w14:textId="77777777" w:rsidR="00164CA3" w:rsidRDefault="00000000">
            <w:pPr>
              <w:pStyle w:val="ListParagraph"/>
              <w:numPr>
                <w:ilvl w:val="0"/>
                <w:numId w:val="2"/>
              </w:numPr>
              <w:spacing w:before="40" w:after="40"/>
            </w:pPr>
            <w:r>
              <w:t>Continuous content development pipeline with partner KOLs and pharma sponsors</w:t>
            </w:r>
          </w:p>
          <w:p w14:paraId="363B3365" w14:textId="77777777" w:rsidR="00164CA3" w:rsidRDefault="00164CA3">
            <w:pPr>
              <w:spacing w:before="60"/>
            </w:pPr>
          </w:p>
          <w:p w14:paraId="182F84CF" w14:textId="77777777" w:rsidR="00164CA3" w:rsidRDefault="00000000">
            <w:r>
              <w:rPr>
                <w:rFonts w:cs="Arial"/>
                <w:b/>
                <w:bCs/>
                <w:color w:val="2E7D32"/>
              </w:rPr>
              <w:t>Success Metrics: ≥5 B2B hospital contracts | ≥1,000 patient records in RWE registry per hospital | 5,000+ active B2C users | ≥3 hospital-published research outputs using OonJai data | Break-even revenue by end of Year 3</w:t>
            </w:r>
          </w:p>
        </w:tc>
      </w:tr>
    </w:tbl>
    <w:p w14:paraId="046342CD" w14:textId="77777777" w:rsidR="00164CA3" w:rsidRDefault="00164CA3">
      <w:pPr>
        <w:spacing w:before="120"/>
      </w:pPr>
    </w:p>
    <w:p w14:paraId="6F0660B3" w14:textId="77777777" w:rsidR="00164CA3" w:rsidRDefault="00000000">
      <w:pPr>
        <w:pStyle w:val="Heading1"/>
        <w:pBdr>
          <w:bottom w:val="single" w:sz="8" w:space="4" w:color="C2185B"/>
        </w:pBdr>
      </w:pPr>
      <w:r>
        <w:t>4. Revenue Streams — Concrete Monetization Model (Revised)</w:t>
      </w:r>
    </w:p>
    <w:p w14:paraId="62B8B600" w14:textId="77777777" w:rsidR="00164CA3" w:rsidRDefault="00000000">
      <w:pPr>
        <w:spacing w:before="60" w:after="80"/>
      </w:pPr>
      <w:r>
        <w:rPr>
          <w:rFonts w:cs="Arial"/>
          <w:color w:val="212121"/>
        </w:rPr>
        <w:t>The following table details each revenue stream across both phases, addressing the need for diversification beyond sole reliance on sponsorships.</w:t>
      </w:r>
    </w:p>
    <w:p w14:paraId="632B0B52" w14:textId="77777777" w:rsidR="00164CA3" w:rsidRDefault="00164CA3">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200"/>
        <w:gridCol w:w="2200"/>
        <w:gridCol w:w="2760"/>
      </w:tblGrid>
      <w:tr w:rsidR="00164CA3" w14:paraId="4D233EB9" w14:textId="77777777">
        <w:trPr>
          <w:tblHeader/>
        </w:trPr>
        <w:tc>
          <w:tcPr>
            <w:tcW w:w="2200" w:type="dxa"/>
            <w:tcBorders>
              <w:top w:val="single" w:sz="1" w:space="0" w:color="C2185B"/>
              <w:left w:val="single" w:sz="1" w:space="0" w:color="C2185B"/>
              <w:bottom w:val="single" w:sz="1" w:space="0" w:color="C2185B"/>
              <w:right w:val="single" w:sz="1" w:space="0" w:color="C2185B"/>
            </w:tcBorders>
            <w:shd w:val="clear" w:color="auto" w:fill="880E4F"/>
            <w:tcMar>
              <w:top w:w="80" w:type="dxa"/>
              <w:left w:w="120" w:type="dxa"/>
              <w:bottom w:w="80" w:type="dxa"/>
              <w:right w:w="120" w:type="dxa"/>
            </w:tcMar>
          </w:tcPr>
          <w:p w14:paraId="055E2328" w14:textId="77777777" w:rsidR="00164CA3" w:rsidRDefault="00000000">
            <w:r>
              <w:rPr>
                <w:rFonts w:cs="Arial"/>
                <w:b/>
                <w:bCs/>
                <w:color w:val="FFFFFF"/>
                <w:sz w:val="18"/>
                <w:szCs w:val="18"/>
              </w:rPr>
              <w:lastRenderedPageBreak/>
              <w:t>Revenue Stream</w:t>
            </w:r>
          </w:p>
        </w:tc>
        <w:tc>
          <w:tcPr>
            <w:tcW w:w="2200" w:type="dxa"/>
            <w:tcBorders>
              <w:top w:val="single" w:sz="1" w:space="0" w:color="C2185B"/>
              <w:left w:val="single" w:sz="1" w:space="0" w:color="C2185B"/>
              <w:bottom w:val="single" w:sz="1" w:space="0" w:color="C2185B"/>
              <w:right w:val="single" w:sz="1" w:space="0" w:color="C2185B"/>
            </w:tcBorders>
            <w:shd w:val="clear" w:color="auto" w:fill="880E4F"/>
            <w:tcMar>
              <w:top w:w="80" w:type="dxa"/>
              <w:left w:w="120" w:type="dxa"/>
              <w:bottom w:w="80" w:type="dxa"/>
              <w:right w:w="120" w:type="dxa"/>
            </w:tcMar>
          </w:tcPr>
          <w:p w14:paraId="07776B42" w14:textId="77777777" w:rsidR="00164CA3" w:rsidRDefault="00000000">
            <w:r>
              <w:rPr>
                <w:rFonts w:cs="Arial"/>
                <w:b/>
                <w:bCs/>
                <w:color w:val="FFFFFF"/>
                <w:sz w:val="18"/>
                <w:szCs w:val="18"/>
              </w:rPr>
              <w:t>Phase 1 (Research)</w:t>
            </w:r>
          </w:p>
        </w:tc>
        <w:tc>
          <w:tcPr>
            <w:tcW w:w="2200" w:type="dxa"/>
            <w:tcBorders>
              <w:top w:val="single" w:sz="1" w:space="0" w:color="C2185B"/>
              <w:left w:val="single" w:sz="1" w:space="0" w:color="C2185B"/>
              <w:bottom w:val="single" w:sz="1" w:space="0" w:color="C2185B"/>
              <w:right w:val="single" w:sz="1" w:space="0" w:color="C2185B"/>
            </w:tcBorders>
            <w:shd w:val="clear" w:color="auto" w:fill="880E4F"/>
            <w:tcMar>
              <w:top w:w="80" w:type="dxa"/>
              <w:left w:w="120" w:type="dxa"/>
              <w:bottom w:w="80" w:type="dxa"/>
              <w:right w:w="120" w:type="dxa"/>
            </w:tcMar>
          </w:tcPr>
          <w:p w14:paraId="0B5A7F86" w14:textId="77777777" w:rsidR="00164CA3" w:rsidRDefault="00000000">
            <w:r>
              <w:rPr>
                <w:rFonts w:cs="Arial"/>
                <w:b/>
                <w:bCs/>
                <w:color w:val="FFFFFF"/>
                <w:sz w:val="18"/>
                <w:szCs w:val="18"/>
              </w:rPr>
              <w:t>Phase 2 (Venture)</w:t>
            </w:r>
          </w:p>
        </w:tc>
        <w:tc>
          <w:tcPr>
            <w:tcW w:w="2760" w:type="dxa"/>
            <w:tcBorders>
              <w:top w:val="single" w:sz="1" w:space="0" w:color="C2185B"/>
              <w:left w:val="single" w:sz="1" w:space="0" w:color="C2185B"/>
              <w:bottom w:val="single" w:sz="1" w:space="0" w:color="C2185B"/>
              <w:right w:val="single" w:sz="1" w:space="0" w:color="C2185B"/>
            </w:tcBorders>
            <w:shd w:val="clear" w:color="auto" w:fill="880E4F"/>
            <w:tcMar>
              <w:top w:w="80" w:type="dxa"/>
              <w:left w:w="120" w:type="dxa"/>
              <w:bottom w:w="80" w:type="dxa"/>
              <w:right w:w="120" w:type="dxa"/>
            </w:tcMar>
          </w:tcPr>
          <w:p w14:paraId="29DAE22A" w14:textId="77777777" w:rsidR="00164CA3" w:rsidRDefault="00000000">
            <w:r>
              <w:rPr>
                <w:rFonts w:cs="Arial"/>
                <w:b/>
                <w:bCs/>
                <w:color w:val="FFFFFF"/>
                <w:sz w:val="18"/>
                <w:szCs w:val="18"/>
              </w:rPr>
              <w:t>Sustainability</w:t>
            </w:r>
          </w:p>
        </w:tc>
      </w:tr>
      <w:tr w:rsidR="00164CA3" w14:paraId="7B526C9D" w14:textId="77777777">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5C2A1466" w14:textId="77777777" w:rsidR="00164CA3" w:rsidRDefault="00000000">
            <w:r>
              <w:rPr>
                <w:rFonts w:cs="Arial"/>
                <w:b/>
                <w:bCs/>
                <w:color w:val="C2185B"/>
                <w:sz w:val="18"/>
                <w:szCs w:val="18"/>
              </w:rPr>
              <w:t>Pharma Educational Sponsorship</w:t>
            </w:r>
          </w:p>
        </w:tc>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555D7B0C" w14:textId="77777777" w:rsidR="00164CA3" w:rsidRDefault="00000000">
            <w:r>
              <w:rPr>
                <w:rFonts w:cs="Arial"/>
                <w:color w:val="212121"/>
                <w:sz w:val="18"/>
                <w:szCs w:val="18"/>
              </w:rPr>
              <w:t>Content co-development grants</w:t>
            </w:r>
          </w:p>
        </w:tc>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7E466E12" w14:textId="77777777" w:rsidR="00164CA3" w:rsidRDefault="00000000">
            <w:r>
              <w:rPr>
                <w:rFonts w:cs="Arial"/>
                <w:color w:val="212121"/>
                <w:sz w:val="18"/>
                <w:szCs w:val="18"/>
              </w:rPr>
              <w:t>Branded modules, KOL events</w:t>
            </w:r>
          </w:p>
        </w:tc>
        <w:tc>
          <w:tcPr>
            <w:tcW w:w="276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6EF9AC43" w14:textId="77777777" w:rsidR="00164CA3" w:rsidRDefault="00000000">
            <w:r>
              <w:rPr>
                <w:rFonts w:cs="Arial"/>
                <w:color w:val="212121"/>
                <w:sz w:val="18"/>
                <w:szCs w:val="18"/>
              </w:rPr>
              <w:t>High – aligns with pharma's patient engagement goals</w:t>
            </w:r>
          </w:p>
        </w:tc>
      </w:tr>
      <w:tr w:rsidR="00164CA3" w14:paraId="10C151A2" w14:textId="77777777">
        <w:tc>
          <w:tcPr>
            <w:tcW w:w="22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241DC0FE" w14:textId="77777777" w:rsidR="00164CA3" w:rsidRDefault="00000000">
            <w:r>
              <w:rPr>
                <w:rFonts w:cs="Arial"/>
                <w:b/>
                <w:bCs/>
                <w:color w:val="C2185B"/>
                <w:sz w:val="18"/>
                <w:szCs w:val="18"/>
              </w:rPr>
              <w:t>Research Data Licensing</w:t>
            </w:r>
          </w:p>
        </w:tc>
        <w:tc>
          <w:tcPr>
            <w:tcW w:w="22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248190CA" w14:textId="77777777" w:rsidR="00164CA3" w:rsidRDefault="00000000">
            <w:r>
              <w:rPr>
                <w:rFonts w:cs="Arial"/>
                <w:color w:val="212121"/>
                <w:sz w:val="18"/>
                <w:szCs w:val="18"/>
              </w:rPr>
              <w:t>IRB-compliant dataset for academics</w:t>
            </w:r>
          </w:p>
        </w:tc>
        <w:tc>
          <w:tcPr>
            <w:tcW w:w="22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199C57EC" w14:textId="77777777" w:rsidR="00164CA3" w:rsidRDefault="00000000">
            <w:r>
              <w:rPr>
                <w:rFonts w:cs="Arial"/>
                <w:color w:val="212121"/>
                <w:sz w:val="18"/>
                <w:szCs w:val="18"/>
              </w:rPr>
              <w:t>Deidentified registry licensing to pharma/CROs</w:t>
            </w:r>
          </w:p>
        </w:tc>
        <w:tc>
          <w:tcPr>
            <w:tcW w:w="276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1DE5B79A" w14:textId="77777777" w:rsidR="00164CA3" w:rsidRDefault="00000000">
            <w:r>
              <w:rPr>
                <w:rFonts w:cs="Arial"/>
                <w:color w:val="212121"/>
                <w:sz w:val="18"/>
                <w:szCs w:val="18"/>
              </w:rPr>
              <w:t>Medium – requires scale (n&gt;500 patients)</w:t>
            </w:r>
          </w:p>
        </w:tc>
      </w:tr>
      <w:tr w:rsidR="00164CA3" w14:paraId="478CD0FF" w14:textId="77777777">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636580A7" w14:textId="77777777" w:rsidR="00164CA3" w:rsidRDefault="00000000">
            <w:r>
              <w:rPr>
                <w:rFonts w:cs="Arial"/>
                <w:b/>
                <w:bCs/>
                <w:color w:val="C2185B"/>
                <w:sz w:val="18"/>
                <w:szCs w:val="18"/>
              </w:rPr>
              <w:t>B2B Hospital Subscriptions</w:t>
            </w:r>
          </w:p>
        </w:tc>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4805677A" w14:textId="77777777" w:rsidR="00164CA3" w:rsidRDefault="00000000">
            <w:r>
              <w:rPr>
                <w:rFonts w:cs="Arial"/>
                <w:color w:val="212121"/>
                <w:sz w:val="18"/>
                <w:szCs w:val="18"/>
              </w:rPr>
              <w:t>Pilot: 1-2 hospitals (free)</w:t>
            </w:r>
          </w:p>
        </w:tc>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125F80E0" w14:textId="77777777" w:rsidR="00164CA3" w:rsidRDefault="00000000">
            <w:r>
              <w:rPr>
                <w:rFonts w:cs="Arial"/>
                <w:color w:val="212121"/>
                <w:sz w:val="18"/>
                <w:szCs w:val="18"/>
              </w:rPr>
              <w:t>Monthly SaaS fee per hospital</w:t>
            </w:r>
          </w:p>
        </w:tc>
        <w:tc>
          <w:tcPr>
            <w:tcW w:w="276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74DFC4C6" w14:textId="77777777" w:rsidR="00164CA3" w:rsidRDefault="00000000">
            <w:r>
              <w:rPr>
                <w:rFonts w:cs="Arial"/>
                <w:color w:val="212121"/>
                <w:sz w:val="18"/>
                <w:szCs w:val="18"/>
              </w:rPr>
              <w:t>High – recurring revenue</w:t>
            </w:r>
          </w:p>
        </w:tc>
      </w:tr>
      <w:tr w:rsidR="00164CA3" w14:paraId="70945FEA" w14:textId="77777777">
        <w:tc>
          <w:tcPr>
            <w:tcW w:w="22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003AA43A" w14:textId="77777777" w:rsidR="00164CA3" w:rsidRDefault="00000000">
            <w:r>
              <w:rPr>
                <w:rFonts w:cs="Arial"/>
                <w:b/>
                <w:bCs/>
                <w:color w:val="C2185B"/>
                <w:sz w:val="18"/>
                <w:szCs w:val="18"/>
              </w:rPr>
              <w:t>B2C Premium Features</w:t>
            </w:r>
          </w:p>
        </w:tc>
        <w:tc>
          <w:tcPr>
            <w:tcW w:w="22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64BAF386" w14:textId="77777777" w:rsidR="00164CA3" w:rsidRDefault="00000000">
            <w:r>
              <w:rPr>
                <w:rFonts w:cs="Arial"/>
                <w:color w:val="212121"/>
                <w:sz w:val="18"/>
                <w:szCs w:val="18"/>
              </w:rPr>
              <w:t>N/A</w:t>
            </w:r>
          </w:p>
        </w:tc>
        <w:tc>
          <w:tcPr>
            <w:tcW w:w="22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731D4D32" w14:textId="77777777" w:rsidR="00164CA3" w:rsidRDefault="00000000">
            <w:r>
              <w:rPr>
                <w:rFonts w:cs="Arial"/>
                <w:color w:val="212121"/>
                <w:sz w:val="18"/>
                <w:szCs w:val="18"/>
              </w:rPr>
              <w:t>Advanced AI reports, family risk tools</w:t>
            </w:r>
          </w:p>
        </w:tc>
        <w:tc>
          <w:tcPr>
            <w:tcW w:w="276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46276682" w14:textId="77777777" w:rsidR="00164CA3" w:rsidRDefault="00000000">
            <w:r>
              <w:rPr>
                <w:rFonts w:cs="Arial"/>
                <w:color w:val="212121"/>
                <w:sz w:val="18"/>
                <w:szCs w:val="18"/>
              </w:rPr>
              <w:t>Medium – requires strong user base</w:t>
            </w:r>
          </w:p>
        </w:tc>
      </w:tr>
      <w:tr w:rsidR="00164CA3" w14:paraId="55432DAC" w14:textId="77777777">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07309A48" w14:textId="77777777" w:rsidR="00164CA3" w:rsidRDefault="00000000">
            <w:r>
              <w:rPr>
                <w:rFonts w:cs="Arial"/>
                <w:b/>
                <w:bCs/>
                <w:color w:val="C2185B"/>
                <w:sz w:val="18"/>
                <w:szCs w:val="18"/>
              </w:rPr>
              <w:t>Grant Funding</w:t>
            </w:r>
          </w:p>
        </w:tc>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6E9B82D0" w14:textId="77777777" w:rsidR="00164CA3" w:rsidRDefault="00000000">
            <w:r>
              <w:rPr>
                <w:rFonts w:cs="Arial"/>
                <w:color w:val="212121"/>
                <w:sz w:val="18"/>
                <w:szCs w:val="18"/>
              </w:rPr>
              <w:t>Health Systems Research Fund, NSTDA</w:t>
            </w:r>
          </w:p>
        </w:tc>
        <w:tc>
          <w:tcPr>
            <w:tcW w:w="22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5EF64A6A" w14:textId="77777777" w:rsidR="00164CA3" w:rsidRDefault="00000000">
            <w:r>
              <w:rPr>
                <w:rFonts w:cs="Arial"/>
                <w:color w:val="212121"/>
                <w:sz w:val="18"/>
                <w:szCs w:val="18"/>
              </w:rPr>
              <w:t>Transitional bridge funding</w:t>
            </w:r>
          </w:p>
        </w:tc>
        <w:tc>
          <w:tcPr>
            <w:tcW w:w="276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2991B115" w14:textId="77777777" w:rsidR="00164CA3" w:rsidRDefault="00000000">
            <w:r>
              <w:rPr>
                <w:rFonts w:cs="Arial"/>
                <w:color w:val="212121"/>
                <w:sz w:val="18"/>
                <w:szCs w:val="18"/>
              </w:rPr>
              <w:t>Medium – non-recurring</w:t>
            </w:r>
          </w:p>
        </w:tc>
      </w:tr>
    </w:tbl>
    <w:p w14:paraId="0D3BFE6C" w14:textId="77777777" w:rsidR="00164CA3" w:rsidRDefault="00164CA3">
      <w:pPr>
        <w:spacing w:before="160"/>
      </w:pPr>
    </w:p>
    <w:p w14:paraId="519C2E07" w14:textId="77777777" w:rsidR="00164CA3" w:rsidRDefault="00000000">
      <w:pPr>
        <w:pStyle w:val="Heading2"/>
      </w:pPr>
      <w:r>
        <w:t>4.1 Freemium Model Detail</w:t>
      </w:r>
    </w:p>
    <w:tbl>
      <w:tblPr>
        <w:tblW w:w="9360" w:type="dxa"/>
        <w:tblBorders>
          <w:top w:val="single" w:sz="1" w:space="0" w:color="C2185B"/>
          <w:left w:val="single" w:sz="1" w:space="0" w:color="C2185B"/>
          <w:bottom w:val="single" w:sz="1" w:space="0" w:color="C2185B"/>
          <w:right w:val="single" w:sz="1" w:space="0" w:color="C2185B"/>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64CA3" w14:paraId="36D04003" w14:textId="77777777">
        <w:tc>
          <w:tcPr>
            <w:tcW w:w="9360" w:type="dxa"/>
            <w:tcBorders>
              <w:top w:val="single" w:sz="1" w:space="0" w:color="C2185B"/>
              <w:left w:val="single" w:sz="1" w:space="0" w:color="C2185B"/>
              <w:bottom w:val="single" w:sz="1" w:space="0" w:color="C2185B"/>
              <w:right w:val="single" w:sz="1" w:space="0" w:color="C2185B"/>
            </w:tcBorders>
            <w:shd w:val="clear" w:color="auto" w:fill="FCE4EC"/>
            <w:tcMar>
              <w:top w:w="80" w:type="dxa"/>
              <w:left w:w="160" w:type="dxa"/>
              <w:bottom w:w="80" w:type="dxa"/>
              <w:right w:w="160" w:type="dxa"/>
            </w:tcMar>
          </w:tcPr>
          <w:p w14:paraId="6F9EB69B" w14:textId="77777777" w:rsidR="00164CA3" w:rsidRDefault="00000000">
            <w:r>
              <w:rPr>
                <w:rFonts w:cs="Arial"/>
                <w:b/>
                <w:bCs/>
                <w:color w:val="C2185B"/>
              </w:rPr>
              <w:t>Freemium Structure</w:t>
            </w:r>
          </w:p>
        </w:tc>
      </w:tr>
      <w:tr w:rsidR="00164CA3" w14:paraId="04FAC2FF" w14:textId="77777777">
        <w:tc>
          <w:tcPr>
            <w:tcW w:w="9360" w:type="dxa"/>
            <w:tcBorders>
              <w:top w:val="single" w:sz="1" w:space="0" w:color="C2185B"/>
              <w:left w:val="single" w:sz="1" w:space="0" w:color="C2185B"/>
              <w:bottom w:val="single" w:sz="1" w:space="0" w:color="C2185B"/>
              <w:right w:val="single" w:sz="1" w:space="0" w:color="C2185B"/>
            </w:tcBorders>
            <w:shd w:val="clear" w:color="auto" w:fill="FFFFFF"/>
            <w:tcMar>
              <w:top w:w="100" w:type="dxa"/>
              <w:left w:w="160" w:type="dxa"/>
              <w:bottom w:w="100" w:type="dxa"/>
              <w:right w:w="160" w:type="dxa"/>
            </w:tcMar>
          </w:tcPr>
          <w:p w14:paraId="6E34758C" w14:textId="77777777" w:rsidR="00164CA3" w:rsidRDefault="00000000">
            <w:r>
              <w:rPr>
                <w:rFonts w:cs="Arial"/>
                <w:b/>
                <w:bCs/>
                <w:color w:val="C2185B"/>
              </w:rPr>
              <w:t>Free Tier (all users):</w:t>
            </w:r>
          </w:p>
          <w:p w14:paraId="6D8E807B" w14:textId="77777777" w:rsidR="00164CA3" w:rsidRDefault="00000000">
            <w:pPr>
              <w:pStyle w:val="ListParagraph"/>
              <w:numPr>
                <w:ilvl w:val="0"/>
                <w:numId w:val="2"/>
              </w:numPr>
              <w:spacing w:before="40" w:after="40"/>
            </w:pPr>
            <w:r>
              <w:t>Personalized disease education content (stage/subtype-matched)</w:t>
            </w:r>
          </w:p>
          <w:p w14:paraId="0EE3DBDC" w14:textId="77777777" w:rsidR="00164CA3" w:rsidRDefault="00000000">
            <w:pPr>
              <w:pStyle w:val="ListParagraph"/>
              <w:numPr>
                <w:ilvl w:val="0"/>
                <w:numId w:val="2"/>
              </w:numPr>
              <w:spacing w:before="40" w:after="40"/>
            </w:pPr>
            <w:r>
              <w:t>AI chatbot support (LINE OA)</w:t>
            </w:r>
          </w:p>
          <w:p w14:paraId="56762D0F" w14:textId="77777777" w:rsidR="00164CA3" w:rsidRDefault="00000000">
            <w:pPr>
              <w:pStyle w:val="ListParagraph"/>
              <w:numPr>
                <w:ilvl w:val="0"/>
                <w:numId w:val="2"/>
              </w:numPr>
              <w:spacing w:before="40" w:after="40"/>
            </w:pPr>
            <w:r>
              <w:t>QOL survey completion and basic feedback</w:t>
            </w:r>
          </w:p>
          <w:p w14:paraId="0EAB83C0" w14:textId="77777777" w:rsidR="00164CA3" w:rsidRDefault="00164CA3">
            <w:pPr>
              <w:spacing w:before="60"/>
            </w:pPr>
          </w:p>
          <w:p w14:paraId="64EA146B" w14:textId="2B063FD5" w:rsidR="00164CA3" w:rsidRDefault="00000000">
            <w:r>
              <w:rPr>
                <w:rFonts w:cs="Arial"/>
                <w:b/>
                <w:bCs/>
                <w:color w:val="C2185B"/>
              </w:rPr>
              <w:t xml:space="preserve">Premium Tier (B2C subscription ~THB </w:t>
            </w:r>
            <w:r w:rsidR="0099646D">
              <w:rPr>
                <w:rFonts w:cs="Arial"/>
                <w:b/>
                <w:bCs/>
                <w:color w:val="C2185B"/>
              </w:rPr>
              <w:t xml:space="preserve">100 </w:t>
            </w:r>
            <w:r>
              <w:rPr>
                <w:rFonts w:cs="Arial"/>
                <w:b/>
                <w:bCs/>
                <w:color w:val="C2185B"/>
              </w:rPr>
              <w:t>/month):</w:t>
            </w:r>
          </w:p>
          <w:p w14:paraId="031E4B81" w14:textId="77777777" w:rsidR="00164CA3" w:rsidRDefault="00000000">
            <w:pPr>
              <w:pStyle w:val="ListParagraph"/>
              <w:numPr>
                <w:ilvl w:val="0"/>
                <w:numId w:val="2"/>
              </w:numPr>
              <w:spacing w:before="40" w:after="40"/>
            </w:pPr>
            <w:r>
              <w:t>AI-generated personalized risk summary and treatment timeline visualization</w:t>
            </w:r>
          </w:p>
          <w:p w14:paraId="3C43464A" w14:textId="77777777" w:rsidR="00164CA3" w:rsidRDefault="00000000">
            <w:pPr>
              <w:pStyle w:val="ListParagraph"/>
              <w:numPr>
                <w:ilvl w:val="0"/>
                <w:numId w:val="2"/>
              </w:numPr>
              <w:spacing w:before="40" w:after="40"/>
            </w:pPr>
            <w:r>
              <w:t>Family history BRCA risk assessment tool</w:t>
            </w:r>
          </w:p>
          <w:p w14:paraId="7BEC6816" w14:textId="77777777" w:rsidR="00164CA3" w:rsidRDefault="00000000">
            <w:pPr>
              <w:pStyle w:val="ListParagraph"/>
              <w:numPr>
                <w:ilvl w:val="0"/>
                <w:numId w:val="2"/>
              </w:numPr>
              <w:spacing w:before="40" w:after="40"/>
            </w:pPr>
            <w:r>
              <w:t>Downloadable QOL trend reports for physician appointments</w:t>
            </w:r>
          </w:p>
          <w:p w14:paraId="376217B8" w14:textId="77777777" w:rsidR="00164CA3" w:rsidRDefault="00164CA3">
            <w:pPr>
              <w:spacing w:before="60"/>
            </w:pPr>
          </w:p>
          <w:p w14:paraId="4934ADC2" w14:textId="77777777" w:rsidR="00164CA3" w:rsidRDefault="00000000">
            <w:r>
              <w:rPr>
                <w:rFonts w:cs="Arial"/>
                <w:b/>
                <w:bCs/>
                <w:color w:val="C2185B"/>
              </w:rPr>
              <w:t>Pharma Sponsor Safeguards:</w:t>
            </w:r>
            <w:r>
              <w:rPr>
                <w:rFonts w:cs="Arial"/>
              </w:rPr>
              <w:t xml:space="preserve"> All sponsored content is clearly labeled, reviewed by an independent medical board, and non-promotional in nature. Sponsors cannot influence clinical recommendations. This maintains platform credibility and complies with PDPA and Thai FDA digital health regulations.</w:t>
            </w:r>
          </w:p>
        </w:tc>
      </w:tr>
    </w:tbl>
    <w:p w14:paraId="23176A1C" w14:textId="77777777" w:rsidR="00164CA3" w:rsidRDefault="00164CA3">
      <w:pPr>
        <w:spacing w:before="120"/>
      </w:pPr>
    </w:p>
    <w:p w14:paraId="544E73DC" w14:textId="77777777" w:rsidR="00164CA3" w:rsidRDefault="00000000">
      <w:pPr>
        <w:pStyle w:val="Heading1"/>
        <w:pBdr>
          <w:bottom w:val="single" w:sz="8" w:space="4" w:color="C2185B"/>
        </w:pBdr>
      </w:pPr>
      <w:r>
        <w:t>5. Content Partnership Model (New)</w:t>
      </w:r>
    </w:p>
    <w:p w14:paraId="60BFA7E5" w14:textId="77777777" w:rsidR="00164CA3" w:rsidRDefault="00000000">
      <w:pPr>
        <w:spacing w:before="60" w:after="80"/>
      </w:pPr>
      <w:r>
        <w:rPr>
          <w:rFonts w:cs="Arial"/>
          <w:color w:val="212121"/>
        </w:rPr>
        <w:t>Content quality and credibility are central to OonJai’s competitive advantage. The partnership model defines collaboration structures across five partner categories.</w:t>
      </w:r>
    </w:p>
    <w:p w14:paraId="3398E864" w14:textId="77777777" w:rsidR="00164CA3" w:rsidRDefault="00164CA3">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164CA3" w14:paraId="2A56027E" w14:textId="77777777">
        <w:trPr>
          <w:tblHeader/>
        </w:trPr>
        <w:tc>
          <w:tcPr>
            <w:tcW w:w="234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tcPr>
          <w:p w14:paraId="0C1802E6" w14:textId="77777777" w:rsidR="00164CA3" w:rsidRDefault="00000000">
            <w:r>
              <w:rPr>
                <w:rFonts w:cs="Arial"/>
                <w:b/>
                <w:bCs/>
                <w:color w:val="FFFFFF"/>
                <w:sz w:val="18"/>
                <w:szCs w:val="18"/>
              </w:rPr>
              <w:t>Partner Type</w:t>
            </w:r>
          </w:p>
        </w:tc>
        <w:tc>
          <w:tcPr>
            <w:tcW w:w="234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tcPr>
          <w:p w14:paraId="1033D85F" w14:textId="77777777" w:rsidR="00164CA3" w:rsidRDefault="00000000">
            <w:r>
              <w:rPr>
                <w:rFonts w:cs="Arial"/>
                <w:b/>
                <w:bCs/>
                <w:color w:val="FFFFFF"/>
                <w:sz w:val="18"/>
                <w:szCs w:val="18"/>
              </w:rPr>
              <w:t>Examples</w:t>
            </w:r>
          </w:p>
        </w:tc>
        <w:tc>
          <w:tcPr>
            <w:tcW w:w="234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tcPr>
          <w:p w14:paraId="30006B6F" w14:textId="77777777" w:rsidR="00164CA3" w:rsidRDefault="00000000">
            <w:r>
              <w:rPr>
                <w:rFonts w:cs="Arial"/>
                <w:b/>
                <w:bCs/>
                <w:color w:val="FFFFFF"/>
                <w:sz w:val="18"/>
                <w:szCs w:val="18"/>
              </w:rPr>
              <w:t>Contribution</w:t>
            </w:r>
          </w:p>
        </w:tc>
        <w:tc>
          <w:tcPr>
            <w:tcW w:w="234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tcPr>
          <w:p w14:paraId="1B2660A3" w14:textId="77777777" w:rsidR="00164CA3" w:rsidRDefault="00000000">
            <w:r>
              <w:rPr>
                <w:rFonts w:cs="Arial"/>
                <w:b/>
                <w:bCs/>
                <w:color w:val="FFFFFF"/>
                <w:sz w:val="18"/>
                <w:szCs w:val="18"/>
              </w:rPr>
              <w:t>OonJai Benefit</w:t>
            </w:r>
          </w:p>
        </w:tc>
      </w:tr>
      <w:tr w:rsidR="00164CA3" w14:paraId="6A60DA9F" w14:textId="77777777">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40AA54DE" w14:textId="77777777" w:rsidR="00164CA3" w:rsidRDefault="00000000">
            <w:r>
              <w:rPr>
                <w:rFonts w:cs="Arial"/>
                <w:b/>
                <w:bCs/>
                <w:color w:val="C2185B"/>
                <w:sz w:val="18"/>
                <w:szCs w:val="18"/>
              </w:rPr>
              <w:t>Medical Institutions</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6186B238" w14:textId="4EB4639D" w:rsidR="00164CA3" w:rsidRDefault="00000000">
            <w:r>
              <w:rPr>
                <w:rFonts w:cs="Arial"/>
                <w:color w:val="212121"/>
                <w:sz w:val="18"/>
                <w:szCs w:val="18"/>
              </w:rPr>
              <w:t xml:space="preserve">King Chulalongkorn Memorial Hospital, </w:t>
            </w:r>
            <w:r w:rsidR="0099646D">
              <w:rPr>
                <w:rFonts w:cs="Arial"/>
                <w:color w:val="212121"/>
                <w:sz w:val="18"/>
                <w:szCs w:val="18"/>
              </w:rPr>
              <w:t xml:space="preserve">Thammasat University </w:t>
            </w:r>
            <w:r>
              <w:rPr>
                <w:rFonts w:cs="Arial"/>
                <w:color w:val="212121"/>
                <w:sz w:val="18"/>
                <w:szCs w:val="18"/>
              </w:rPr>
              <w:t>Hospital</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07700BED" w14:textId="77777777" w:rsidR="00164CA3" w:rsidRDefault="00000000">
            <w:r>
              <w:rPr>
                <w:rFonts w:cs="Arial"/>
                <w:color w:val="212121"/>
                <w:sz w:val="18"/>
                <w:szCs w:val="18"/>
              </w:rPr>
              <w:t>Clinical content review, patient recruitment, IRB co-sponsorship</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7086470E" w14:textId="77777777" w:rsidR="00164CA3" w:rsidRDefault="00000000">
            <w:r>
              <w:rPr>
                <w:rFonts w:cs="Arial"/>
                <w:color w:val="212121"/>
                <w:sz w:val="18"/>
                <w:szCs w:val="18"/>
              </w:rPr>
              <w:t>Credibility, patient access, clinical validation</w:t>
            </w:r>
          </w:p>
        </w:tc>
      </w:tr>
      <w:tr w:rsidR="00164CA3" w14:paraId="7979EE94" w14:textId="77777777">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20AFED3D" w14:textId="77777777" w:rsidR="00164CA3" w:rsidRDefault="00000000">
            <w:r>
              <w:rPr>
                <w:rFonts w:cs="Arial"/>
                <w:b/>
                <w:bCs/>
                <w:color w:val="C2185B"/>
                <w:sz w:val="18"/>
                <w:szCs w:val="18"/>
              </w:rPr>
              <w:t>Oncology KOLs</w:t>
            </w:r>
          </w:p>
        </w:tc>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182D1115" w14:textId="6A92387A" w:rsidR="00164CA3" w:rsidRDefault="0099646D">
            <w:r>
              <w:rPr>
                <w:rFonts w:cs="Arial"/>
                <w:color w:val="212121"/>
                <w:sz w:val="18"/>
                <w:szCs w:val="18"/>
              </w:rPr>
              <w:t>Thai Breast Disease Society (TBS) faculty</w:t>
            </w:r>
          </w:p>
        </w:tc>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13F516E4" w14:textId="77777777" w:rsidR="00164CA3" w:rsidRDefault="00000000">
            <w:r>
              <w:rPr>
                <w:rFonts w:cs="Arial"/>
                <w:color w:val="212121"/>
                <w:sz w:val="18"/>
                <w:szCs w:val="18"/>
              </w:rPr>
              <w:t>Expert video content, guideline interpretation</w:t>
            </w:r>
          </w:p>
        </w:tc>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3C7BEE83" w14:textId="77777777" w:rsidR="00164CA3" w:rsidRDefault="00000000">
            <w:r>
              <w:rPr>
                <w:rFonts w:cs="Arial"/>
                <w:color w:val="212121"/>
                <w:sz w:val="18"/>
                <w:szCs w:val="18"/>
              </w:rPr>
              <w:t>Trust signal, content authority</w:t>
            </w:r>
          </w:p>
        </w:tc>
      </w:tr>
      <w:tr w:rsidR="00164CA3" w14:paraId="28235166" w14:textId="77777777">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55C29F8C" w14:textId="77777777" w:rsidR="00164CA3" w:rsidRDefault="00000000">
            <w:r>
              <w:rPr>
                <w:rFonts w:cs="Arial"/>
                <w:b/>
                <w:bCs/>
                <w:color w:val="C2185B"/>
                <w:sz w:val="18"/>
                <w:szCs w:val="18"/>
              </w:rPr>
              <w:lastRenderedPageBreak/>
              <w:t>Pharmaceutical Companies</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266F9A66" w14:textId="77777777" w:rsidR="00164CA3" w:rsidRDefault="00000000">
            <w:r>
              <w:rPr>
                <w:rFonts w:cs="Arial"/>
                <w:color w:val="212121"/>
                <w:sz w:val="18"/>
                <w:szCs w:val="18"/>
              </w:rPr>
              <w:t>AstraZeneca, Roche, Pfizer (Thailand)</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2282FB0C" w14:textId="77777777" w:rsidR="00164CA3" w:rsidRDefault="00000000">
            <w:r>
              <w:rPr>
                <w:rFonts w:cs="Arial"/>
                <w:color w:val="212121"/>
                <w:sz w:val="18"/>
                <w:szCs w:val="18"/>
              </w:rPr>
              <w:t>Sponsored disease education modules (non-promotional)</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15E5B37C" w14:textId="77777777" w:rsidR="00164CA3" w:rsidRDefault="00000000">
            <w:r>
              <w:rPr>
                <w:rFonts w:cs="Arial"/>
                <w:color w:val="212121"/>
                <w:sz w:val="18"/>
                <w:szCs w:val="18"/>
              </w:rPr>
              <w:t>Revenue, content budget, distribution network</w:t>
            </w:r>
          </w:p>
        </w:tc>
      </w:tr>
      <w:tr w:rsidR="00164CA3" w14:paraId="198384B9" w14:textId="77777777">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6DF6761E" w14:textId="77777777" w:rsidR="00164CA3" w:rsidRDefault="00000000">
            <w:r>
              <w:rPr>
                <w:rFonts w:cs="Arial"/>
                <w:b/>
                <w:bCs/>
                <w:color w:val="C2185B"/>
                <w:sz w:val="18"/>
                <w:szCs w:val="18"/>
              </w:rPr>
              <w:t>Patient Advocacy Groups</w:t>
            </w:r>
          </w:p>
        </w:tc>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231E425A" w14:textId="04B487FA" w:rsidR="00164CA3" w:rsidRDefault="0099646D">
            <w:r w:rsidRPr="0065682D">
              <w:rPr>
                <w:rFonts w:cs="Arial"/>
                <w:color w:val="212121"/>
                <w:sz w:val="18"/>
                <w:szCs w:val="18"/>
              </w:rPr>
              <w:t>Thailand Breast Cancer Community (TBCC)</w:t>
            </w:r>
          </w:p>
        </w:tc>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5AE44E49" w14:textId="77777777" w:rsidR="00164CA3" w:rsidRDefault="00000000">
            <w:r>
              <w:rPr>
                <w:rFonts w:cs="Arial"/>
                <w:color w:val="212121"/>
                <w:sz w:val="18"/>
                <w:szCs w:val="18"/>
              </w:rPr>
              <w:t>Patient journey insights, co-creation workshops</w:t>
            </w:r>
          </w:p>
        </w:tc>
        <w:tc>
          <w:tcPr>
            <w:tcW w:w="234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tcPr>
          <w:p w14:paraId="039C2D53" w14:textId="77777777" w:rsidR="00164CA3" w:rsidRDefault="00000000">
            <w:r>
              <w:rPr>
                <w:rFonts w:cs="Arial"/>
                <w:color w:val="212121"/>
                <w:sz w:val="18"/>
                <w:szCs w:val="18"/>
              </w:rPr>
              <w:t>Community reach, user trust, co-design</w:t>
            </w:r>
          </w:p>
        </w:tc>
      </w:tr>
      <w:tr w:rsidR="00164CA3" w14:paraId="2D2ECBF4" w14:textId="77777777">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65877031" w14:textId="77777777" w:rsidR="00164CA3" w:rsidRDefault="00000000">
            <w:r>
              <w:rPr>
                <w:rFonts w:cs="Arial"/>
                <w:b/>
                <w:bCs/>
                <w:color w:val="C2185B"/>
                <w:sz w:val="18"/>
                <w:szCs w:val="18"/>
              </w:rPr>
              <w:t>Digital Health / AI Firms</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17E7F07A" w14:textId="77777777" w:rsidR="00164CA3" w:rsidRDefault="00000000">
            <w:r>
              <w:rPr>
                <w:rFonts w:cs="Arial"/>
                <w:color w:val="212121"/>
                <w:sz w:val="18"/>
                <w:szCs w:val="18"/>
              </w:rPr>
              <w:t>Local AI startups, Google Health partners</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380148A5" w14:textId="77777777" w:rsidR="00164CA3" w:rsidRDefault="00000000">
            <w:r>
              <w:rPr>
                <w:rFonts w:cs="Arial"/>
                <w:color w:val="212121"/>
                <w:sz w:val="18"/>
                <w:szCs w:val="18"/>
              </w:rPr>
              <w:t>NLP tools, content automation, platform infra</w:t>
            </w:r>
          </w:p>
        </w:tc>
        <w:tc>
          <w:tcPr>
            <w:tcW w:w="234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tcPr>
          <w:p w14:paraId="244CB0FE" w14:textId="77777777" w:rsidR="00164CA3" w:rsidRDefault="00000000">
            <w:r>
              <w:rPr>
                <w:rFonts w:cs="Arial"/>
                <w:color w:val="212121"/>
                <w:sz w:val="18"/>
                <w:szCs w:val="18"/>
              </w:rPr>
              <w:t>Technology leverage, cost reduction</w:t>
            </w:r>
          </w:p>
        </w:tc>
      </w:tr>
    </w:tbl>
    <w:p w14:paraId="775314A6" w14:textId="77777777" w:rsidR="00164CA3" w:rsidRDefault="00164CA3">
      <w:pPr>
        <w:spacing w:before="160"/>
      </w:pPr>
    </w:p>
    <w:p w14:paraId="494C094F" w14:textId="77777777" w:rsidR="00164CA3" w:rsidRDefault="00000000">
      <w:pPr>
        <w:pStyle w:val="Heading2"/>
      </w:pPr>
      <w:r>
        <w:t>5.1 Content Governance Structure</w:t>
      </w:r>
    </w:p>
    <w:tbl>
      <w:tblPr>
        <w:tblW w:w="9360" w:type="dxa"/>
        <w:tblBorders>
          <w:top w:val="single" w:sz="1" w:space="0" w:color="C2185B"/>
          <w:left w:val="single" w:sz="1" w:space="0" w:color="C2185B"/>
          <w:bottom w:val="single" w:sz="1" w:space="0" w:color="C2185B"/>
          <w:right w:val="single" w:sz="1" w:space="0" w:color="C2185B"/>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64CA3" w14:paraId="02B70AA3" w14:textId="77777777">
        <w:tc>
          <w:tcPr>
            <w:tcW w:w="9360" w:type="dxa"/>
            <w:tcBorders>
              <w:top w:val="single" w:sz="1" w:space="0" w:color="C2185B"/>
              <w:left w:val="single" w:sz="1" w:space="0" w:color="C2185B"/>
              <w:bottom w:val="single" w:sz="1" w:space="0" w:color="C2185B"/>
              <w:right w:val="single" w:sz="1" w:space="0" w:color="C2185B"/>
            </w:tcBorders>
            <w:shd w:val="clear" w:color="auto" w:fill="FCE4EC"/>
            <w:tcMar>
              <w:top w:w="80" w:type="dxa"/>
              <w:left w:w="160" w:type="dxa"/>
              <w:bottom w:w="80" w:type="dxa"/>
              <w:right w:w="160" w:type="dxa"/>
            </w:tcMar>
          </w:tcPr>
          <w:p w14:paraId="050DEFD9" w14:textId="77777777" w:rsidR="00164CA3" w:rsidRDefault="00000000">
            <w:r>
              <w:rPr>
                <w:rFonts w:cs="Arial"/>
                <w:b/>
                <w:bCs/>
                <w:color w:val="C2185B"/>
              </w:rPr>
              <w:t>Editorial Independence Safeguards</w:t>
            </w:r>
          </w:p>
        </w:tc>
      </w:tr>
      <w:tr w:rsidR="00164CA3" w14:paraId="2D46ADDD" w14:textId="77777777">
        <w:tc>
          <w:tcPr>
            <w:tcW w:w="9360" w:type="dxa"/>
            <w:tcBorders>
              <w:top w:val="single" w:sz="1" w:space="0" w:color="C2185B"/>
              <w:left w:val="single" w:sz="1" w:space="0" w:color="C2185B"/>
              <w:bottom w:val="single" w:sz="1" w:space="0" w:color="C2185B"/>
              <w:right w:val="single" w:sz="1" w:space="0" w:color="C2185B"/>
            </w:tcBorders>
            <w:shd w:val="clear" w:color="auto" w:fill="FFFFFF"/>
            <w:tcMar>
              <w:top w:w="100" w:type="dxa"/>
              <w:left w:w="160" w:type="dxa"/>
              <w:bottom w:w="100" w:type="dxa"/>
              <w:right w:w="160" w:type="dxa"/>
            </w:tcMar>
          </w:tcPr>
          <w:p w14:paraId="431FC889" w14:textId="77777777" w:rsidR="00164CA3" w:rsidRDefault="00000000">
            <w:r>
              <w:rPr>
                <w:rFonts w:cs="Arial"/>
              </w:rPr>
              <w:t>To maintain clinical credibility and regulatory compliance:</w:t>
            </w:r>
          </w:p>
          <w:p w14:paraId="355D07E3" w14:textId="77777777" w:rsidR="00164CA3" w:rsidRDefault="00164CA3">
            <w:pPr>
              <w:spacing w:before="40"/>
            </w:pPr>
          </w:p>
          <w:p w14:paraId="4D047152" w14:textId="77777777" w:rsidR="00164CA3" w:rsidRDefault="00000000">
            <w:pPr>
              <w:pStyle w:val="ListParagraph"/>
              <w:numPr>
                <w:ilvl w:val="0"/>
                <w:numId w:val="2"/>
              </w:numPr>
              <w:spacing w:before="40" w:after="40"/>
            </w:pPr>
            <w:r>
              <w:t>Independent Medical Advisory Board: 3–5 oncologists review all AI-generated and sponsored content quarterly</w:t>
            </w:r>
          </w:p>
          <w:p w14:paraId="3E7C392C" w14:textId="77777777" w:rsidR="00164CA3" w:rsidRDefault="00000000">
            <w:pPr>
              <w:pStyle w:val="ListParagraph"/>
              <w:numPr>
                <w:ilvl w:val="0"/>
                <w:numId w:val="2"/>
              </w:numPr>
              <w:spacing w:before="40" w:after="40"/>
            </w:pPr>
            <w:r>
              <w:t>Content Update Cycle: Triggered by new NCCN/ESMO guideline releases (typically 1–2x/year per tumor subtype)</w:t>
            </w:r>
          </w:p>
          <w:p w14:paraId="3EAA136B" w14:textId="77777777" w:rsidR="00164CA3" w:rsidRDefault="00000000">
            <w:pPr>
              <w:pStyle w:val="ListParagraph"/>
              <w:numPr>
                <w:ilvl w:val="0"/>
                <w:numId w:val="2"/>
              </w:numPr>
              <w:spacing w:before="40" w:after="40"/>
            </w:pPr>
            <w:r>
              <w:t>Sponsor Firewall: Commercial partners may fund content production but cannot modify clinical recommendations</w:t>
            </w:r>
          </w:p>
          <w:p w14:paraId="1DB7BFD2" w14:textId="77777777" w:rsidR="00164CA3" w:rsidRDefault="00000000">
            <w:pPr>
              <w:pStyle w:val="ListParagraph"/>
              <w:numPr>
                <w:ilvl w:val="0"/>
                <w:numId w:val="2"/>
              </w:numPr>
              <w:spacing w:before="40" w:after="40"/>
            </w:pPr>
            <w:r>
              <w:t>PDPA Compliance: All patient data collected under IRB consent; deidentified before any commercial licensing</w:t>
            </w:r>
          </w:p>
        </w:tc>
      </w:tr>
    </w:tbl>
    <w:p w14:paraId="0B88B135" w14:textId="77777777" w:rsidR="00164CA3" w:rsidRDefault="00164CA3">
      <w:pPr>
        <w:spacing w:before="120"/>
      </w:pPr>
    </w:p>
    <w:p w14:paraId="16030164" w14:textId="77777777" w:rsidR="00164CA3" w:rsidRDefault="00000000">
      <w:pPr>
        <w:pStyle w:val="Heading1"/>
        <w:pBdr>
          <w:bottom w:val="single" w:sz="8" w:space="4" w:color="C2185B"/>
        </w:pBdr>
      </w:pPr>
      <w:r>
        <w:t>6. Competitive Analysis — Comparison Matrix (Revised)</w:t>
      </w:r>
    </w:p>
    <w:p w14:paraId="0C592994" w14:textId="77777777" w:rsidR="00164CA3" w:rsidRDefault="00000000">
      <w:pPr>
        <w:spacing w:before="60" w:after="80"/>
      </w:pPr>
      <w:r>
        <w:rPr>
          <w:rFonts w:cs="Arial"/>
          <w:color w:val="212121"/>
        </w:rPr>
        <w:t>The following matrix compares OonJai Breast Partners against three key competitors: Outcomes4Me (US, AI-driven cancer education), PatientsLikeMe (crowdsourced patient data), and Belong.Life (global cancer community app). Criteria are weighted toward features relevant to the Thai oncology context.</w:t>
      </w:r>
    </w:p>
    <w:p w14:paraId="539CDAD9" w14:textId="77777777" w:rsidR="00164CA3" w:rsidRDefault="00164CA3">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871"/>
        <w:gridCol w:w="1791"/>
        <w:gridCol w:w="1814"/>
        <w:gridCol w:w="1722"/>
      </w:tblGrid>
      <w:tr w:rsidR="00164CA3" w14:paraId="54B52EC6" w14:textId="77777777">
        <w:trPr>
          <w:tblHeader/>
        </w:trPr>
        <w:tc>
          <w:tcPr>
            <w:tcW w:w="150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vAlign w:val="center"/>
          </w:tcPr>
          <w:p w14:paraId="438486A1" w14:textId="77777777" w:rsidR="00164CA3" w:rsidRDefault="00000000">
            <w:pPr>
              <w:jc w:val="center"/>
            </w:pPr>
            <w:r>
              <w:rPr>
                <w:rFonts w:cs="Arial"/>
                <w:b/>
                <w:bCs/>
                <w:color w:val="FFFFFF"/>
                <w:sz w:val="18"/>
                <w:szCs w:val="18"/>
              </w:rPr>
              <w:t>Criteria</w:t>
            </w:r>
          </w:p>
        </w:tc>
        <w:tc>
          <w:tcPr>
            <w:tcW w:w="210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vAlign w:val="center"/>
          </w:tcPr>
          <w:p w14:paraId="4E2DB97C" w14:textId="77777777" w:rsidR="00164CA3" w:rsidRDefault="00000000">
            <w:pPr>
              <w:jc w:val="center"/>
            </w:pPr>
            <w:r>
              <w:rPr>
                <w:rFonts w:cs="Arial"/>
                <w:b/>
                <w:bCs/>
                <w:color w:val="FFFFFF"/>
                <w:sz w:val="18"/>
                <w:szCs w:val="18"/>
              </w:rPr>
              <w:t>OonJai Breast Partners</w:t>
            </w:r>
          </w:p>
        </w:tc>
        <w:tc>
          <w:tcPr>
            <w:tcW w:w="192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vAlign w:val="center"/>
          </w:tcPr>
          <w:p w14:paraId="4B31B292" w14:textId="77777777" w:rsidR="00164CA3" w:rsidRDefault="00000000">
            <w:pPr>
              <w:jc w:val="center"/>
            </w:pPr>
            <w:r>
              <w:rPr>
                <w:rFonts w:cs="Arial"/>
                <w:b/>
                <w:bCs/>
                <w:color w:val="FFFFFF"/>
                <w:sz w:val="18"/>
                <w:szCs w:val="18"/>
              </w:rPr>
              <w:t>Outcomes4Me</w:t>
            </w:r>
          </w:p>
        </w:tc>
        <w:tc>
          <w:tcPr>
            <w:tcW w:w="192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vAlign w:val="center"/>
          </w:tcPr>
          <w:p w14:paraId="4C9C73CA" w14:textId="77777777" w:rsidR="00164CA3" w:rsidRDefault="00000000">
            <w:pPr>
              <w:jc w:val="center"/>
            </w:pPr>
            <w:r>
              <w:rPr>
                <w:rFonts w:cs="Arial"/>
                <w:b/>
                <w:bCs/>
                <w:color w:val="FFFFFF"/>
                <w:sz w:val="18"/>
                <w:szCs w:val="18"/>
              </w:rPr>
              <w:t>PatientsLikeMe</w:t>
            </w:r>
          </w:p>
        </w:tc>
        <w:tc>
          <w:tcPr>
            <w:tcW w:w="1920" w:type="dxa"/>
            <w:tcBorders>
              <w:top w:val="single" w:sz="1" w:space="0" w:color="C2185B"/>
              <w:left w:val="single" w:sz="1" w:space="0" w:color="C2185B"/>
              <w:bottom w:val="single" w:sz="1" w:space="0" w:color="C2185B"/>
              <w:right w:val="single" w:sz="1" w:space="0" w:color="C2185B"/>
            </w:tcBorders>
            <w:shd w:val="clear" w:color="auto" w:fill="C2185B"/>
            <w:tcMar>
              <w:top w:w="80" w:type="dxa"/>
              <w:left w:w="120" w:type="dxa"/>
              <w:bottom w:w="80" w:type="dxa"/>
              <w:right w:w="120" w:type="dxa"/>
            </w:tcMar>
            <w:vAlign w:val="center"/>
          </w:tcPr>
          <w:p w14:paraId="2912E3AD" w14:textId="77777777" w:rsidR="00164CA3" w:rsidRDefault="00000000">
            <w:pPr>
              <w:jc w:val="center"/>
            </w:pPr>
            <w:r>
              <w:rPr>
                <w:rFonts w:cs="Arial"/>
                <w:b/>
                <w:bCs/>
                <w:color w:val="FFFFFF"/>
                <w:sz w:val="18"/>
                <w:szCs w:val="18"/>
              </w:rPr>
              <w:t>Belong.Life</w:t>
            </w:r>
          </w:p>
        </w:tc>
      </w:tr>
      <w:tr w:rsidR="00164CA3" w14:paraId="52F3AFB2" w14:textId="77777777">
        <w:tc>
          <w:tcPr>
            <w:tcW w:w="15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45D05458" w14:textId="77777777" w:rsidR="00164CA3" w:rsidRDefault="00000000">
            <w:r>
              <w:rPr>
                <w:rFonts w:cs="Arial"/>
                <w:color w:val="212121"/>
                <w:sz w:val="18"/>
                <w:szCs w:val="18"/>
              </w:rPr>
              <w:t>Target Disease</w:t>
            </w:r>
          </w:p>
        </w:tc>
        <w:tc>
          <w:tcPr>
            <w:tcW w:w="21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64409BD1" w14:textId="77777777" w:rsidR="00164CA3" w:rsidRDefault="00000000">
            <w:r>
              <w:rPr>
                <w:rFonts w:cs="Arial"/>
                <w:b/>
                <w:bCs/>
                <w:color w:val="C2185B"/>
                <w:sz w:val="18"/>
                <w:szCs w:val="18"/>
              </w:rPr>
              <w:t>Breast cancer (Thailand-focused)</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1DA697B1" w14:textId="77777777" w:rsidR="00164CA3" w:rsidRDefault="00000000">
            <w:r>
              <w:rPr>
                <w:rFonts w:cs="Arial"/>
                <w:color w:val="212121"/>
                <w:sz w:val="18"/>
                <w:szCs w:val="18"/>
              </w:rPr>
              <w:t>All cancers (US-focused)</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1B1610F5" w14:textId="77777777" w:rsidR="00164CA3" w:rsidRDefault="00000000">
            <w:r>
              <w:rPr>
                <w:rFonts w:cs="Arial"/>
                <w:color w:val="212121"/>
                <w:sz w:val="18"/>
                <w:szCs w:val="18"/>
              </w:rPr>
              <w:t>All chronic diseases</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38954E90" w14:textId="77777777" w:rsidR="00164CA3" w:rsidRDefault="00000000">
            <w:r>
              <w:rPr>
                <w:rFonts w:cs="Arial"/>
                <w:color w:val="212121"/>
                <w:sz w:val="18"/>
                <w:szCs w:val="18"/>
              </w:rPr>
              <w:t>All cancers (global)</w:t>
            </w:r>
          </w:p>
        </w:tc>
      </w:tr>
      <w:tr w:rsidR="00164CA3" w14:paraId="7E695FC6" w14:textId="77777777">
        <w:tc>
          <w:tcPr>
            <w:tcW w:w="15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69A82125" w14:textId="77777777" w:rsidR="00164CA3" w:rsidRDefault="00000000">
            <w:r>
              <w:rPr>
                <w:rFonts w:cs="Arial"/>
                <w:color w:val="212121"/>
                <w:sz w:val="18"/>
                <w:szCs w:val="18"/>
              </w:rPr>
              <w:t>Personalization</w:t>
            </w:r>
          </w:p>
        </w:tc>
        <w:tc>
          <w:tcPr>
            <w:tcW w:w="21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720C6E57" w14:textId="77777777" w:rsidR="00164CA3" w:rsidRDefault="00000000">
            <w:r>
              <w:rPr>
                <w:rFonts w:cs="Arial"/>
                <w:b/>
                <w:bCs/>
                <w:color w:val="C2185B"/>
                <w:sz w:val="18"/>
                <w:szCs w:val="18"/>
              </w:rPr>
              <w:t>Stage + subtype + BRCA-based AI content</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61F20101" w14:textId="77777777" w:rsidR="00164CA3" w:rsidRDefault="00000000">
            <w:r>
              <w:rPr>
                <w:rFonts w:cs="Arial"/>
                <w:color w:val="212121"/>
                <w:sz w:val="18"/>
                <w:szCs w:val="18"/>
              </w:rPr>
              <w:t>Treatment-based education</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1C1D77E1" w14:textId="77777777" w:rsidR="00164CA3" w:rsidRDefault="00000000">
            <w:r>
              <w:rPr>
                <w:rFonts w:cs="Arial"/>
                <w:color w:val="212121"/>
                <w:sz w:val="18"/>
                <w:szCs w:val="18"/>
              </w:rPr>
              <w:t>Peer matching by condition</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318CB786" w14:textId="77777777" w:rsidR="00164CA3" w:rsidRDefault="00000000">
            <w:r>
              <w:rPr>
                <w:rFonts w:cs="Arial"/>
                <w:color w:val="212121"/>
                <w:sz w:val="18"/>
                <w:szCs w:val="18"/>
              </w:rPr>
              <w:t>Community + AI symptom tracking</w:t>
            </w:r>
          </w:p>
        </w:tc>
      </w:tr>
      <w:tr w:rsidR="00164CA3" w14:paraId="7769D227" w14:textId="77777777">
        <w:tc>
          <w:tcPr>
            <w:tcW w:w="15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2B8C35CD" w14:textId="77777777" w:rsidR="00164CA3" w:rsidRDefault="00000000">
            <w:r>
              <w:rPr>
                <w:rFonts w:cs="Arial"/>
                <w:color w:val="212121"/>
                <w:sz w:val="18"/>
                <w:szCs w:val="18"/>
              </w:rPr>
              <w:t>Guideline-Based Content</w:t>
            </w:r>
          </w:p>
        </w:tc>
        <w:tc>
          <w:tcPr>
            <w:tcW w:w="21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3CF8D184" w14:textId="77777777" w:rsidR="00164CA3" w:rsidRDefault="00000000">
            <w:r>
              <w:rPr>
                <w:rFonts w:cs="Arial"/>
                <w:b/>
                <w:bCs/>
                <w:color w:val="C2185B"/>
                <w:sz w:val="18"/>
                <w:szCs w:val="18"/>
              </w:rPr>
              <w:t>✅ NCCN + ESMO + Thai guidelines</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308A78D7" w14:textId="77777777" w:rsidR="00164CA3" w:rsidRDefault="00000000">
            <w:r>
              <w:rPr>
                <w:rFonts w:cs="Arial"/>
                <w:color w:val="212121"/>
                <w:sz w:val="18"/>
                <w:szCs w:val="18"/>
              </w:rPr>
              <w:t>✅ NCCN guidelines</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4B4A994F" w14:textId="77777777" w:rsidR="00164CA3" w:rsidRDefault="00000000">
            <w:r>
              <w:rPr>
                <w:rFonts w:cs="Arial"/>
                <w:color w:val="212121"/>
                <w:sz w:val="18"/>
                <w:szCs w:val="18"/>
              </w:rPr>
              <w:t>❌ Peer-reported only</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07E8574D" w14:textId="77777777" w:rsidR="00164CA3" w:rsidRDefault="00000000">
            <w:r>
              <w:rPr>
                <w:rFonts w:cs="Arial"/>
                <w:color w:val="212121"/>
                <w:sz w:val="18"/>
                <w:szCs w:val="18"/>
              </w:rPr>
              <w:t>⚠️ Partial</w:t>
            </w:r>
          </w:p>
        </w:tc>
      </w:tr>
      <w:tr w:rsidR="00164CA3" w14:paraId="09F68E81" w14:textId="77777777">
        <w:tc>
          <w:tcPr>
            <w:tcW w:w="15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31B01050" w14:textId="77777777" w:rsidR="00164CA3" w:rsidRDefault="00000000">
            <w:r>
              <w:rPr>
                <w:rFonts w:cs="Arial"/>
                <w:color w:val="212121"/>
                <w:sz w:val="18"/>
                <w:szCs w:val="18"/>
              </w:rPr>
              <w:t>Language/Localization</w:t>
            </w:r>
          </w:p>
        </w:tc>
        <w:tc>
          <w:tcPr>
            <w:tcW w:w="21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4A6EA75A" w14:textId="77777777" w:rsidR="00164CA3" w:rsidRDefault="00000000">
            <w:r>
              <w:rPr>
                <w:rFonts w:cs="Arial"/>
                <w:b/>
                <w:bCs/>
                <w:color w:val="C2185B"/>
                <w:sz w:val="18"/>
                <w:szCs w:val="18"/>
              </w:rPr>
              <w:t>✅ Thai + English</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1216FCD1" w14:textId="77777777" w:rsidR="00164CA3" w:rsidRDefault="00000000">
            <w:r>
              <w:rPr>
                <w:rFonts w:cs="Arial"/>
                <w:color w:val="212121"/>
                <w:sz w:val="18"/>
                <w:szCs w:val="18"/>
              </w:rPr>
              <w:t>❌ English only</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16ED9E97" w14:textId="77777777" w:rsidR="00164CA3" w:rsidRDefault="00000000">
            <w:r>
              <w:rPr>
                <w:rFonts w:cs="Arial"/>
                <w:color w:val="212121"/>
                <w:sz w:val="18"/>
                <w:szCs w:val="18"/>
              </w:rPr>
              <w:t>❌ English only</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34E9D754" w14:textId="77777777" w:rsidR="00164CA3" w:rsidRDefault="00000000">
            <w:r>
              <w:rPr>
                <w:rFonts w:cs="Arial"/>
                <w:color w:val="212121"/>
                <w:sz w:val="18"/>
                <w:szCs w:val="18"/>
              </w:rPr>
              <w:t>⚠️ Limited</w:t>
            </w:r>
          </w:p>
        </w:tc>
      </w:tr>
      <w:tr w:rsidR="00164CA3" w14:paraId="11CF1A9F" w14:textId="77777777">
        <w:tc>
          <w:tcPr>
            <w:tcW w:w="15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52C5AE4C" w14:textId="77777777" w:rsidR="00164CA3" w:rsidRDefault="00000000">
            <w:r>
              <w:rPr>
                <w:rFonts w:cs="Arial"/>
                <w:color w:val="212121"/>
                <w:sz w:val="18"/>
                <w:szCs w:val="18"/>
              </w:rPr>
              <w:t>Real-World Evidence</w:t>
            </w:r>
          </w:p>
        </w:tc>
        <w:tc>
          <w:tcPr>
            <w:tcW w:w="21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04BC85BC" w14:textId="77777777" w:rsidR="00164CA3" w:rsidRDefault="00000000">
            <w:r>
              <w:rPr>
                <w:rFonts w:cs="Arial"/>
                <w:b/>
                <w:bCs/>
                <w:color w:val="C2185B"/>
                <w:sz w:val="18"/>
                <w:szCs w:val="18"/>
              </w:rPr>
              <w:t>✅ QOL + survival registry</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4F6334E5" w14:textId="77777777" w:rsidR="00164CA3" w:rsidRDefault="00000000">
            <w:r>
              <w:rPr>
                <w:rFonts w:cs="Arial"/>
                <w:color w:val="212121"/>
                <w:sz w:val="18"/>
                <w:szCs w:val="18"/>
              </w:rPr>
              <w:t>⚠️ Outcome tracking</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2BF1067D" w14:textId="77777777" w:rsidR="00164CA3" w:rsidRDefault="00000000">
            <w:r>
              <w:rPr>
                <w:rFonts w:cs="Arial"/>
                <w:color w:val="212121"/>
                <w:sz w:val="18"/>
                <w:szCs w:val="18"/>
              </w:rPr>
              <w:t>✅ Crowdsourced data</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5892C652" w14:textId="77777777" w:rsidR="00164CA3" w:rsidRDefault="00000000">
            <w:r>
              <w:rPr>
                <w:rFonts w:cs="Arial"/>
                <w:color w:val="212121"/>
                <w:sz w:val="18"/>
                <w:szCs w:val="18"/>
              </w:rPr>
              <w:t>⚠️ Symptom diary</w:t>
            </w:r>
          </w:p>
        </w:tc>
      </w:tr>
      <w:tr w:rsidR="00164CA3" w14:paraId="4DBDA381" w14:textId="77777777">
        <w:tc>
          <w:tcPr>
            <w:tcW w:w="15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513D0FA4" w14:textId="77777777" w:rsidR="00164CA3" w:rsidRDefault="00000000">
            <w:r>
              <w:rPr>
                <w:rFonts w:cs="Arial"/>
                <w:color w:val="212121"/>
                <w:sz w:val="18"/>
                <w:szCs w:val="18"/>
              </w:rPr>
              <w:lastRenderedPageBreak/>
              <w:t>LINE Integration</w:t>
            </w:r>
          </w:p>
        </w:tc>
        <w:tc>
          <w:tcPr>
            <w:tcW w:w="21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2E8DE42A" w14:textId="77777777" w:rsidR="00164CA3" w:rsidRDefault="00000000">
            <w:r>
              <w:rPr>
                <w:rFonts w:cs="Arial"/>
                <w:b/>
                <w:bCs/>
                <w:color w:val="C2185B"/>
                <w:sz w:val="18"/>
                <w:szCs w:val="18"/>
              </w:rPr>
              <w:t>✅ Native LINE OA integration</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1476F414" w14:textId="77777777" w:rsidR="00164CA3" w:rsidRDefault="00000000">
            <w:r>
              <w:rPr>
                <w:rFonts w:cs="Arial"/>
                <w:color w:val="212121"/>
                <w:sz w:val="18"/>
                <w:szCs w:val="18"/>
              </w:rPr>
              <w:t>❌ App only</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327E6E6B" w14:textId="77777777" w:rsidR="00164CA3" w:rsidRDefault="00000000">
            <w:r>
              <w:rPr>
                <w:rFonts w:cs="Arial"/>
                <w:color w:val="212121"/>
                <w:sz w:val="18"/>
                <w:szCs w:val="18"/>
              </w:rPr>
              <w:t>❌ Web/app only</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375EDFD4" w14:textId="77777777" w:rsidR="00164CA3" w:rsidRDefault="00000000">
            <w:r>
              <w:rPr>
                <w:rFonts w:cs="Arial"/>
                <w:color w:val="212121"/>
                <w:sz w:val="18"/>
                <w:szCs w:val="18"/>
              </w:rPr>
              <w:t>❌ App only</w:t>
            </w:r>
          </w:p>
        </w:tc>
      </w:tr>
      <w:tr w:rsidR="00164CA3" w14:paraId="08B59A3D" w14:textId="77777777">
        <w:tc>
          <w:tcPr>
            <w:tcW w:w="15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7F365D62" w14:textId="77777777" w:rsidR="00164CA3" w:rsidRDefault="00000000">
            <w:r>
              <w:rPr>
                <w:rFonts w:cs="Arial"/>
                <w:color w:val="212121"/>
                <w:sz w:val="18"/>
                <w:szCs w:val="18"/>
              </w:rPr>
              <w:t>Gamification/Adherence</w:t>
            </w:r>
          </w:p>
        </w:tc>
        <w:tc>
          <w:tcPr>
            <w:tcW w:w="21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63A96A6A" w14:textId="77777777" w:rsidR="00164CA3" w:rsidRDefault="00000000">
            <w:r>
              <w:rPr>
                <w:rFonts w:cs="Arial"/>
                <w:b/>
                <w:bCs/>
                <w:color w:val="C2185B"/>
                <w:sz w:val="18"/>
                <w:szCs w:val="18"/>
              </w:rPr>
              <w:t>✅ Built-in adherence gamification</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75646169" w14:textId="77777777" w:rsidR="00164CA3" w:rsidRDefault="00000000">
            <w:r>
              <w:rPr>
                <w:rFonts w:cs="Arial"/>
                <w:color w:val="212121"/>
                <w:sz w:val="18"/>
                <w:szCs w:val="18"/>
              </w:rPr>
              <w:t>❌ None</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26F9F17B" w14:textId="77777777" w:rsidR="00164CA3" w:rsidRDefault="00000000">
            <w:r>
              <w:rPr>
                <w:rFonts w:cs="Arial"/>
                <w:color w:val="212121"/>
                <w:sz w:val="18"/>
                <w:szCs w:val="18"/>
              </w:rPr>
              <w:t>❌ None</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5DB1CA95" w14:textId="77777777" w:rsidR="00164CA3" w:rsidRDefault="00000000">
            <w:r>
              <w:rPr>
                <w:rFonts w:cs="Arial"/>
                <w:color w:val="212121"/>
                <w:sz w:val="18"/>
                <w:szCs w:val="18"/>
              </w:rPr>
              <w:t>⚠️ Basic</w:t>
            </w:r>
          </w:p>
        </w:tc>
      </w:tr>
      <w:tr w:rsidR="00164CA3" w14:paraId="42C0D684" w14:textId="77777777">
        <w:tc>
          <w:tcPr>
            <w:tcW w:w="15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39EABD0C" w14:textId="77777777" w:rsidR="00164CA3" w:rsidRDefault="00000000">
            <w:r>
              <w:rPr>
                <w:rFonts w:cs="Arial"/>
                <w:color w:val="212121"/>
                <w:sz w:val="18"/>
                <w:szCs w:val="18"/>
              </w:rPr>
              <w:t>Pharma Sponsor Model</w:t>
            </w:r>
          </w:p>
        </w:tc>
        <w:tc>
          <w:tcPr>
            <w:tcW w:w="21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7D63599C" w14:textId="77777777" w:rsidR="00164CA3" w:rsidRDefault="00000000">
            <w:r>
              <w:rPr>
                <w:rFonts w:cs="Arial"/>
                <w:b/>
                <w:bCs/>
                <w:color w:val="C2185B"/>
                <w:sz w:val="18"/>
                <w:szCs w:val="18"/>
              </w:rPr>
              <w:t>✅ Freemium + pharma-sponsored</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6771B739" w14:textId="77777777" w:rsidR="00164CA3" w:rsidRDefault="00000000">
            <w:r>
              <w:rPr>
                <w:rFonts w:cs="Arial"/>
                <w:color w:val="212121"/>
                <w:sz w:val="18"/>
                <w:szCs w:val="18"/>
              </w:rPr>
              <w:t>⚠️ Subscription-based</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108EE1CC" w14:textId="77777777" w:rsidR="00164CA3" w:rsidRDefault="00000000">
            <w:r>
              <w:rPr>
                <w:rFonts w:cs="Arial"/>
                <w:color w:val="212121"/>
                <w:sz w:val="18"/>
                <w:szCs w:val="18"/>
              </w:rPr>
              <w:t>❌ Sold to UnitedHealth</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54790BA7" w14:textId="77777777" w:rsidR="00164CA3" w:rsidRDefault="00000000">
            <w:r>
              <w:rPr>
                <w:rFonts w:cs="Arial"/>
                <w:color w:val="212121"/>
                <w:sz w:val="18"/>
                <w:szCs w:val="18"/>
              </w:rPr>
              <w:t>⚠️ Pharma partnerships</w:t>
            </w:r>
          </w:p>
        </w:tc>
      </w:tr>
      <w:tr w:rsidR="00164CA3" w14:paraId="6E5EB9AE" w14:textId="77777777">
        <w:tc>
          <w:tcPr>
            <w:tcW w:w="15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7AF25F6A" w14:textId="77777777" w:rsidR="00164CA3" w:rsidRDefault="00000000">
            <w:r>
              <w:rPr>
                <w:rFonts w:cs="Arial"/>
                <w:color w:val="212121"/>
                <w:sz w:val="18"/>
                <w:szCs w:val="18"/>
              </w:rPr>
              <w:t>IRB/Clinical Registry</w:t>
            </w:r>
          </w:p>
        </w:tc>
        <w:tc>
          <w:tcPr>
            <w:tcW w:w="210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3F436111" w14:textId="77777777" w:rsidR="00164CA3" w:rsidRDefault="00000000">
            <w:r>
              <w:rPr>
                <w:rFonts w:cs="Arial"/>
                <w:b/>
                <w:bCs/>
                <w:color w:val="C2185B"/>
                <w:sz w:val="18"/>
                <w:szCs w:val="18"/>
              </w:rPr>
              <w:t>✅ Phase 1 IRB planned</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16EF90E3" w14:textId="77777777" w:rsidR="00164CA3" w:rsidRDefault="00000000">
            <w:r>
              <w:rPr>
                <w:rFonts w:cs="Arial"/>
                <w:color w:val="212121"/>
                <w:sz w:val="18"/>
                <w:szCs w:val="18"/>
              </w:rPr>
              <w:t>❌ Not a clinical study</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7F96016B" w14:textId="77777777" w:rsidR="00164CA3" w:rsidRDefault="00000000">
            <w:r>
              <w:rPr>
                <w:rFonts w:cs="Arial"/>
                <w:color w:val="212121"/>
                <w:sz w:val="18"/>
                <w:szCs w:val="18"/>
              </w:rPr>
              <w:t>❌ Not IRB-driven</w:t>
            </w:r>
          </w:p>
        </w:tc>
        <w:tc>
          <w:tcPr>
            <w:tcW w:w="1920" w:type="dxa"/>
            <w:tcBorders>
              <w:top w:val="single" w:sz="1" w:space="0" w:color="DDDDDD"/>
              <w:left w:val="single" w:sz="1" w:space="0" w:color="DDDDDD"/>
              <w:bottom w:val="single" w:sz="1" w:space="0" w:color="DDDDDD"/>
              <w:right w:val="single" w:sz="1" w:space="0" w:color="DDDDDD"/>
            </w:tcBorders>
            <w:shd w:val="clear" w:color="auto" w:fill="FFFFFF"/>
            <w:tcMar>
              <w:top w:w="60" w:type="dxa"/>
              <w:left w:w="120" w:type="dxa"/>
              <w:bottom w:w="60" w:type="dxa"/>
              <w:right w:w="120" w:type="dxa"/>
            </w:tcMar>
            <w:vAlign w:val="center"/>
          </w:tcPr>
          <w:p w14:paraId="38C1657A" w14:textId="77777777" w:rsidR="00164CA3" w:rsidRDefault="00000000">
            <w:r>
              <w:rPr>
                <w:rFonts w:cs="Arial"/>
                <w:color w:val="212121"/>
                <w:sz w:val="18"/>
                <w:szCs w:val="18"/>
              </w:rPr>
              <w:t>❌ Not IRB-driven</w:t>
            </w:r>
          </w:p>
        </w:tc>
      </w:tr>
      <w:tr w:rsidR="00164CA3" w14:paraId="6764C2BB" w14:textId="77777777">
        <w:tc>
          <w:tcPr>
            <w:tcW w:w="15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4306498A" w14:textId="77777777" w:rsidR="00164CA3" w:rsidRDefault="00000000">
            <w:r>
              <w:rPr>
                <w:rFonts w:cs="Arial"/>
                <w:color w:val="212121"/>
                <w:sz w:val="18"/>
                <w:szCs w:val="18"/>
              </w:rPr>
              <w:t>AI Chatbot Safety</w:t>
            </w:r>
          </w:p>
        </w:tc>
        <w:tc>
          <w:tcPr>
            <w:tcW w:w="210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633FFA3D" w14:textId="77777777" w:rsidR="00164CA3" w:rsidRDefault="00000000">
            <w:r>
              <w:rPr>
                <w:rFonts w:cs="Arial"/>
                <w:b/>
                <w:bCs/>
                <w:color w:val="C2185B"/>
                <w:sz w:val="18"/>
                <w:szCs w:val="18"/>
              </w:rPr>
              <w:t>✅ Alert to clinician if high-risk query</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286FDE76" w14:textId="77777777" w:rsidR="00164CA3" w:rsidRDefault="00000000">
            <w:r>
              <w:rPr>
                <w:rFonts w:cs="Arial"/>
                <w:color w:val="212121"/>
                <w:sz w:val="18"/>
                <w:szCs w:val="18"/>
              </w:rPr>
              <w:t>⚠️ Basic chatbot</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66B628B6" w14:textId="77777777" w:rsidR="00164CA3" w:rsidRDefault="00000000">
            <w:r>
              <w:rPr>
                <w:rFonts w:cs="Arial"/>
                <w:color w:val="212121"/>
                <w:sz w:val="18"/>
                <w:szCs w:val="18"/>
              </w:rPr>
              <w:t>❌ None</w:t>
            </w:r>
          </w:p>
        </w:tc>
        <w:tc>
          <w:tcPr>
            <w:tcW w:w="1920" w:type="dxa"/>
            <w:tcBorders>
              <w:top w:val="single" w:sz="1" w:space="0" w:color="DDDDDD"/>
              <w:left w:val="single" w:sz="1" w:space="0" w:color="DDDDDD"/>
              <w:bottom w:val="single" w:sz="1" w:space="0" w:color="DDDDDD"/>
              <w:right w:val="single" w:sz="1" w:space="0" w:color="DDDDDD"/>
            </w:tcBorders>
            <w:shd w:val="clear" w:color="auto" w:fill="F5F5F5"/>
            <w:tcMar>
              <w:top w:w="60" w:type="dxa"/>
              <w:left w:w="120" w:type="dxa"/>
              <w:bottom w:w="60" w:type="dxa"/>
              <w:right w:w="120" w:type="dxa"/>
            </w:tcMar>
            <w:vAlign w:val="center"/>
          </w:tcPr>
          <w:p w14:paraId="7544B1C5" w14:textId="77777777" w:rsidR="00164CA3" w:rsidRDefault="00000000">
            <w:r>
              <w:rPr>
                <w:rFonts w:cs="Arial"/>
                <w:color w:val="212121"/>
                <w:sz w:val="18"/>
                <w:szCs w:val="18"/>
              </w:rPr>
              <w:t>⚠️ Basic</w:t>
            </w:r>
          </w:p>
        </w:tc>
      </w:tr>
    </w:tbl>
    <w:p w14:paraId="1F8F7CFE" w14:textId="77777777" w:rsidR="00164CA3" w:rsidRDefault="00164CA3">
      <w:pPr>
        <w:spacing w:before="160"/>
      </w:pPr>
    </w:p>
    <w:p w14:paraId="5EBAD5D1" w14:textId="77777777" w:rsidR="00164CA3" w:rsidRDefault="00000000">
      <w:pPr>
        <w:pStyle w:val="Heading2"/>
      </w:pPr>
      <w:r>
        <w:t>6.1 Competitive Advantage Summary</w:t>
      </w:r>
    </w:p>
    <w:tbl>
      <w:tblPr>
        <w:tblW w:w="9360" w:type="dxa"/>
        <w:tblBorders>
          <w:top w:val="single" w:sz="1" w:space="0" w:color="C2185B"/>
          <w:left w:val="single" w:sz="1" w:space="0" w:color="C2185B"/>
          <w:bottom w:val="single" w:sz="1" w:space="0" w:color="C2185B"/>
          <w:right w:val="single" w:sz="1" w:space="0" w:color="C2185B"/>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64CA3" w14:paraId="4669EBC4" w14:textId="77777777">
        <w:tc>
          <w:tcPr>
            <w:tcW w:w="9360" w:type="dxa"/>
            <w:tcBorders>
              <w:top w:val="single" w:sz="1" w:space="0" w:color="C2185B"/>
              <w:left w:val="single" w:sz="1" w:space="0" w:color="C2185B"/>
              <w:bottom w:val="single" w:sz="1" w:space="0" w:color="C2185B"/>
              <w:right w:val="single" w:sz="1" w:space="0" w:color="C2185B"/>
            </w:tcBorders>
            <w:shd w:val="clear" w:color="auto" w:fill="FCE4EC"/>
            <w:tcMar>
              <w:top w:w="80" w:type="dxa"/>
              <w:left w:w="160" w:type="dxa"/>
              <w:bottom w:w="80" w:type="dxa"/>
              <w:right w:w="160" w:type="dxa"/>
            </w:tcMar>
          </w:tcPr>
          <w:p w14:paraId="40A99FF2" w14:textId="77777777" w:rsidR="00164CA3" w:rsidRDefault="00000000">
            <w:r>
              <w:rPr>
                <w:rFonts w:cs="Arial"/>
                <w:b/>
                <w:bCs/>
                <w:color w:val="C2185B"/>
              </w:rPr>
              <w:t>OonJai’s Differentiated Position</w:t>
            </w:r>
          </w:p>
        </w:tc>
      </w:tr>
      <w:tr w:rsidR="00164CA3" w14:paraId="307B77EF" w14:textId="77777777">
        <w:tc>
          <w:tcPr>
            <w:tcW w:w="9360" w:type="dxa"/>
            <w:tcBorders>
              <w:top w:val="single" w:sz="1" w:space="0" w:color="C2185B"/>
              <w:left w:val="single" w:sz="1" w:space="0" w:color="C2185B"/>
              <w:bottom w:val="single" w:sz="1" w:space="0" w:color="C2185B"/>
              <w:right w:val="single" w:sz="1" w:space="0" w:color="C2185B"/>
            </w:tcBorders>
            <w:shd w:val="clear" w:color="auto" w:fill="FFFFFF"/>
            <w:tcMar>
              <w:top w:w="100" w:type="dxa"/>
              <w:left w:w="160" w:type="dxa"/>
              <w:bottom w:w="100" w:type="dxa"/>
              <w:right w:w="160" w:type="dxa"/>
            </w:tcMar>
          </w:tcPr>
          <w:p w14:paraId="6886AAC6" w14:textId="77777777" w:rsidR="00164CA3" w:rsidRDefault="00000000">
            <w:r>
              <w:rPr>
                <w:rFonts w:cs="Arial"/>
              </w:rPr>
              <w:t>OonJai Breast Partners is uniquely positioned at the intersection of four strengths that no single competitor currently combines:</w:t>
            </w:r>
          </w:p>
          <w:p w14:paraId="11524F57" w14:textId="77777777" w:rsidR="00164CA3" w:rsidRDefault="00164CA3">
            <w:pPr>
              <w:spacing w:before="40"/>
            </w:pPr>
          </w:p>
          <w:p w14:paraId="1DBA752E" w14:textId="77777777" w:rsidR="00164CA3" w:rsidRDefault="00000000">
            <w:pPr>
              <w:pStyle w:val="ListParagraph"/>
              <w:numPr>
                <w:ilvl w:val="0"/>
                <w:numId w:val="2"/>
              </w:numPr>
              <w:spacing w:before="40" w:after="40"/>
            </w:pPr>
            <w:r>
              <w:rPr>
                <w:b/>
                <w:bCs/>
              </w:rPr>
              <w:t>Guideline-validated AI personalization: Content matched to molecular subtype (HR+, HER2+, TNBC), stage, and BRCA status</w:t>
            </w:r>
          </w:p>
          <w:p w14:paraId="152E1E82" w14:textId="77777777" w:rsidR="00164CA3" w:rsidRDefault="00000000">
            <w:pPr>
              <w:pStyle w:val="ListParagraph"/>
              <w:numPr>
                <w:ilvl w:val="0"/>
                <w:numId w:val="2"/>
              </w:numPr>
              <w:spacing w:before="40" w:after="40"/>
            </w:pPr>
            <w:r>
              <w:rPr>
                <w:b/>
                <w:bCs/>
              </w:rPr>
              <w:t>IRB-backed clinical registry: Generates publishable real-world evidence, differentiating from purely commercial apps</w:t>
            </w:r>
          </w:p>
          <w:p w14:paraId="25552EEE" w14:textId="77777777" w:rsidR="00164CA3" w:rsidRDefault="00000000">
            <w:pPr>
              <w:pStyle w:val="ListParagraph"/>
              <w:numPr>
                <w:ilvl w:val="0"/>
                <w:numId w:val="2"/>
              </w:numPr>
              <w:spacing w:before="40" w:after="40"/>
            </w:pPr>
            <w:r>
              <w:rPr>
                <w:b/>
                <w:bCs/>
              </w:rPr>
              <w:t>Thailand/ASEAN localization: Thai-language content, LINE OA integration (LINE penetration in Thailand &gt;95%), and Thai guideline alignment</w:t>
            </w:r>
          </w:p>
          <w:p w14:paraId="4FF621CC" w14:textId="77777777" w:rsidR="00164CA3" w:rsidRDefault="00000000">
            <w:pPr>
              <w:pStyle w:val="ListParagraph"/>
              <w:numPr>
                <w:ilvl w:val="0"/>
                <w:numId w:val="2"/>
              </w:numPr>
              <w:spacing w:before="40" w:after="40"/>
            </w:pPr>
            <w:r>
              <w:rPr>
                <w:b/>
                <w:bCs/>
              </w:rPr>
              <w:t>Safety-first AI chatbot: Automated escalation to clinicians for high-risk queries—a feature absent from all identified competitors</w:t>
            </w:r>
          </w:p>
        </w:tc>
      </w:tr>
    </w:tbl>
    <w:p w14:paraId="0BB4EA16" w14:textId="77777777" w:rsidR="00164CA3" w:rsidRDefault="00164CA3">
      <w:pPr>
        <w:spacing w:before="120"/>
      </w:pPr>
    </w:p>
    <w:p w14:paraId="368514CD" w14:textId="77777777" w:rsidR="00164CA3" w:rsidRDefault="00000000">
      <w:pPr>
        <w:pStyle w:val="Heading1"/>
        <w:pBdr>
          <w:bottom w:val="single" w:sz="8" w:space="4" w:color="C2185B"/>
        </w:pBdr>
      </w:pPr>
      <w:r>
        <w:t>7. Retained Sections from Original Submission</w:t>
      </w:r>
    </w:p>
    <w:p w14:paraId="2A7BC8E7" w14:textId="77777777" w:rsidR="00164CA3" w:rsidRDefault="00000000">
      <w:pPr>
        <w:pStyle w:val="Heading2"/>
      </w:pPr>
      <w:r>
        <w:t>7.1 Business Model Canvas</w:t>
      </w:r>
    </w:p>
    <w:p w14:paraId="69D703E2" w14:textId="77777777" w:rsidR="00164CA3" w:rsidRDefault="00000000">
      <w:pPr>
        <w:spacing w:before="60" w:after="80"/>
      </w:pPr>
      <w:r>
        <w:rPr>
          <w:rFonts w:cs="Arial"/>
          <w:color w:val="212121"/>
        </w:rPr>
        <w:t>The platform adopts a demand-pull innovation strategy beginning with unmet patient educational needs. Its model aligns with a freemium-influenced ecosystem where patients access services free of charge, while pharmaceutical sponsors support operational sustainability through content partnerships (non-promotional, independently reviewed).</w:t>
      </w:r>
    </w:p>
    <w:p w14:paraId="78BCD741" w14:textId="77777777" w:rsidR="00164CA3" w:rsidRDefault="00164CA3">
      <w:pPr>
        <w:spacing w:before="120"/>
      </w:pPr>
    </w:p>
    <w:p w14:paraId="7F9AD6DD" w14:textId="77777777" w:rsidR="00164CA3" w:rsidRDefault="00000000">
      <w:pPr>
        <w:pStyle w:val="Heading2"/>
      </w:pPr>
      <w:r>
        <w:t>7.2 Feasibility Assessment</w:t>
      </w:r>
    </w:p>
    <w:p w14:paraId="7231DF08" w14:textId="77777777" w:rsidR="00164CA3" w:rsidRDefault="00000000">
      <w:pPr>
        <w:pStyle w:val="ListParagraph"/>
        <w:numPr>
          <w:ilvl w:val="0"/>
          <w:numId w:val="2"/>
        </w:numPr>
        <w:spacing w:before="40" w:after="40"/>
      </w:pPr>
      <w:r>
        <w:rPr>
          <w:color w:val="212121"/>
        </w:rPr>
        <w:t>Product Feasibility: Lovable-built prototype validated with 2 clinical reviewers; chatbot rated effective</w:t>
      </w:r>
    </w:p>
    <w:p w14:paraId="7E4634C2" w14:textId="77777777" w:rsidR="00164CA3" w:rsidRDefault="00000000">
      <w:pPr>
        <w:pStyle w:val="ListParagraph"/>
        <w:numPr>
          <w:ilvl w:val="0"/>
          <w:numId w:val="2"/>
        </w:numPr>
        <w:spacing w:before="40" w:after="40"/>
      </w:pPr>
      <w:r>
        <w:rPr>
          <w:color w:val="212121"/>
        </w:rPr>
        <w:lastRenderedPageBreak/>
        <w:t>Market Feasibility: ~17,000 new breast cancer cases/year in Thailand (NCCN 2023); LINE OA reach &gt;50M Thai users</w:t>
      </w:r>
    </w:p>
    <w:p w14:paraId="6662E43F" w14:textId="77777777" w:rsidR="00164CA3" w:rsidRDefault="00000000">
      <w:pPr>
        <w:pStyle w:val="ListParagraph"/>
        <w:numPr>
          <w:ilvl w:val="0"/>
          <w:numId w:val="2"/>
        </w:numPr>
        <w:spacing w:before="40" w:after="40"/>
      </w:pPr>
      <w:r>
        <w:rPr>
          <w:color w:val="212121"/>
        </w:rPr>
        <w:t>Organizational Feasibility: Interdisciplinary team (breast surgeon, clinical scientist, AI developer)</w:t>
      </w:r>
    </w:p>
    <w:p w14:paraId="7ADB22C5" w14:textId="77777777" w:rsidR="00164CA3" w:rsidRDefault="00000000">
      <w:pPr>
        <w:pStyle w:val="ListParagraph"/>
        <w:numPr>
          <w:ilvl w:val="0"/>
          <w:numId w:val="2"/>
        </w:numPr>
        <w:spacing w:before="40" w:after="40"/>
      </w:pPr>
      <w:r>
        <w:rPr>
          <w:color w:val="212121"/>
        </w:rPr>
        <w:t>Financial Feasibility: Phase 1 funded via HSRI grant + KCMH research budget; Phase 2 via B2B/B2C revenue</w:t>
      </w:r>
    </w:p>
    <w:p w14:paraId="43D1D042" w14:textId="77777777" w:rsidR="00164CA3" w:rsidRDefault="00164CA3">
      <w:pPr>
        <w:spacing w:before="120"/>
      </w:pPr>
    </w:p>
    <w:p w14:paraId="632F5502" w14:textId="77777777" w:rsidR="00164CA3" w:rsidRDefault="00000000">
      <w:pPr>
        <w:pStyle w:val="Heading2"/>
      </w:pPr>
      <w:r>
        <w:t>7.3 Risk Matrix</w:t>
      </w:r>
    </w:p>
    <w:p w14:paraId="29DD102F" w14:textId="77777777" w:rsidR="00164CA3" w:rsidRDefault="00000000">
      <w:pPr>
        <w:pStyle w:val="ListParagraph"/>
        <w:numPr>
          <w:ilvl w:val="0"/>
          <w:numId w:val="2"/>
        </w:numPr>
        <w:spacing w:before="40" w:after="40"/>
      </w:pPr>
      <w:r>
        <w:rPr>
          <w:color w:val="212121"/>
        </w:rPr>
        <w:t>Data Privacy: PDPA compliance by design; IRB consent framework; deidentification before licensing</w:t>
      </w:r>
    </w:p>
    <w:p w14:paraId="20C2A87A" w14:textId="77777777" w:rsidR="00164CA3" w:rsidRDefault="00000000">
      <w:pPr>
        <w:pStyle w:val="ListParagraph"/>
        <w:numPr>
          <w:ilvl w:val="0"/>
          <w:numId w:val="2"/>
        </w:numPr>
        <w:spacing w:before="40" w:after="40"/>
      </w:pPr>
      <w:r>
        <w:rPr>
          <w:color w:val="212121"/>
        </w:rPr>
        <w:t>Sponsor Bias Perception: Independent medical board + transparent content labeling</w:t>
      </w:r>
    </w:p>
    <w:p w14:paraId="66C61C25" w14:textId="77777777" w:rsidR="00164CA3" w:rsidRDefault="00000000">
      <w:pPr>
        <w:pStyle w:val="ListParagraph"/>
        <w:numPr>
          <w:ilvl w:val="0"/>
          <w:numId w:val="2"/>
        </w:numPr>
        <w:spacing w:before="40" w:after="40"/>
      </w:pPr>
      <w:r>
        <w:rPr>
          <w:color w:val="212121"/>
        </w:rPr>
        <w:t>Technology Adoption: LINE OA platform removes app download barrier; Thai UI/UX</w:t>
      </w:r>
    </w:p>
    <w:p w14:paraId="5932B0C0" w14:textId="77777777" w:rsidR="00164CA3" w:rsidRDefault="00000000">
      <w:pPr>
        <w:pStyle w:val="ListParagraph"/>
        <w:numPr>
          <w:ilvl w:val="0"/>
          <w:numId w:val="2"/>
        </w:numPr>
        <w:spacing w:before="40" w:after="40"/>
      </w:pPr>
      <w:r>
        <w:rPr>
          <w:color w:val="212121"/>
        </w:rPr>
        <w:t>Regulatory: MDES digital health framework compliance; no diagnostic claims made</w:t>
      </w:r>
    </w:p>
    <w:p w14:paraId="08B39284" w14:textId="77777777" w:rsidR="00164CA3" w:rsidRDefault="00164CA3">
      <w:pPr>
        <w:spacing w:before="120"/>
      </w:pPr>
    </w:p>
    <w:p w14:paraId="6C803EE4" w14:textId="788204E0" w:rsidR="004814E6" w:rsidRDefault="004814E6" w:rsidP="004814E6">
      <w:pPr>
        <w:pStyle w:val="Heading1"/>
        <w:pBdr>
          <w:bottom w:val="single" w:sz="8" w:space="4" w:color="C2185B"/>
        </w:pBdr>
      </w:pPr>
      <w:r>
        <w:rPr>
          <w:rFonts w:cs="Browallia New"/>
          <w:szCs w:val="40"/>
          <w:lang w:val="en-US"/>
        </w:rPr>
        <w:t>8</w:t>
      </w:r>
      <w:r>
        <w:t xml:space="preserve">. </w:t>
      </w:r>
      <w:r w:rsidRPr="004814E6">
        <w:rPr>
          <w:rFonts w:eastAsia="Times New Roman"/>
          <w:szCs w:val="24"/>
        </w:rPr>
        <w:t>Summary of Journey</w:t>
      </w:r>
    </w:p>
    <w:p w14:paraId="52C9A1B6"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This project reflects my journey from initially believing that building a digital health platform would be highly complex, to realizing that it is both feasible and achievable. Using the Lovable application, I was able to quickly and easily create a functional prototype of an AI-guided breast cancer support platform. The platform enables anonymous patient registration, delivers personalized educational content, integrates with a LINE Official Account, and collects longitudinal quality-of-life and survival data. An AI-powered chatbot provides real-time support, with safety mechanisms to alert healthcare professionals if harmful or high-risk queries are detected. Additionally, a clinician dashboard allows monitoring of patient-reported outcomes.</w:t>
      </w:r>
    </w:p>
    <w:p w14:paraId="1C4DA2CE"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This experience has significantly changed my perspective. What once seemed difficult now feels possible. I truly enjoyed this class and the process of developing this project. It has motivated me to continue improving the platform, with the goal of implementing it in real clinical practice. I hope that one day this application can support and improve the care of breast cancer patients in Thailand.</w:t>
      </w:r>
    </w:p>
    <w:p w14:paraId="696B6A96" w14:textId="77777777" w:rsidR="004814E6" w:rsidRDefault="004814E6" w:rsidP="004814E6">
      <w:pPr>
        <w:rPr>
          <w:rFonts w:eastAsia="Times New Roman" w:cs="Arial"/>
          <w:szCs w:val="24"/>
        </w:rPr>
      </w:pPr>
    </w:p>
    <w:p w14:paraId="608F5C1B" w14:textId="3279905E" w:rsidR="004814E6" w:rsidRDefault="004814E6" w:rsidP="004814E6">
      <w:pPr>
        <w:pStyle w:val="Heading1"/>
        <w:pBdr>
          <w:bottom w:val="single" w:sz="8" w:space="4" w:color="C2185B"/>
        </w:pBdr>
      </w:pPr>
      <w:r>
        <w:rPr>
          <w:rFonts w:cs="Browallia New"/>
          <w:szCs w:val="40"/>
        </w:rPr>
        <w:t>9</w:t>
      </w:r>
      <w:r>
        <w:t xml:space="preserve">. </w:t>
      </w:r>
      <w:r w:rsidRPr="004814E6">
        <w:rPr>
          <w:rFonts w:eastAsia="Times New Roman"/>
          <w:szCs w:val="24"/>
        </w:rPr>
        <w:t>Validation Evidence</w:t>
      </w:r>
    </w:p>
    <w:p w14:paraId="670C5E6D" w14:textId="1F608BBD" w:rsidR="004814E6" w:rsidRPr="004814E6" w:rsidRDefault="004814E6" w:rsidP="004814E6">
      <w:pPr>
        <w:rPr>
          <w:rFonts w:eastAsia="Times New Roman" w:cs="Arial"/>
          <w:b/>
          <w:bCs/>
          <w:szCs w:val="24"/>
        </w:rPr>
      </w:pPr>
      <w:r w:rsidRPr="004814E6">
        <w:rPr>
          <w:rFonts w:cs="Arial"/>
          <w:b/>
          <w:bCs/>
          <w:color w:val="880E4F"/>
          <w:sz w:val="26"/>
          <w:szCs w:val="26"/>
        </w:rPr>
        <w:t>Reviewer 1:</w:t>
      </w:r>
    </w:p>
    <w:p w14:paraId="0BF9A481" w14:textId="77777777" w:rsidR="004814E6" w:rsidRPr="004814E6" w:rsidRDefault="004814E6" w:rsidP="004814E6">
      <w:pPr>
        <w:numPr>
          <w:ilvl w:val="0"/>
          <w:numId w:val="3"/>
        </w:numPr>
        <w:spacing w:before="100" w:beforeAutospacing="1" w:after="100" w:afterAutospacing="1"/>
        <w:rPr>
          <w:rFonts w:eastAsia="Times New Roman" w:cs="Arial"/>
          <w:szCs w:val="24"/>
        </w:rPr>
      </w:pPr>
      <w:r w:rsidRPr="004814E6">
        <w:rPr>
          <w:rFonts w:eastAsia="Times New Roman" w:cs="Arial"/>
          <w:szCs w:val="24"/>
        </w:rPr>
        <w:t>Suggested adding a centralized menu tab to improve navigation and allow easier access to all platform functions. (Figure 2 and 3)</w:t>
      </w:r>
    </w:p>
    <w:p w14:paraId="03289287" w14:textId="77777777" w:rsidR="004814E6" w:rsidRPr="004814E6" w:rsidRDefault="004814E6" w:rsidP="004814E6">
      <w:pPr>
        <w:numPr>
          <w:ilvl w:val="0"/>
          <w:numId w:val="3"/>
        </w:numPr>
        <w:spacing w:before="100" w:beforeAutospacing="1" w:after="100" w:afterAutospacing="1"/>
        <w:rPr>
          <w:rFonts w:eastAsia="Times New Roman" w:cs="Arial"/>
          <w:szCs w:val="24"/>
        </w:rPr>
      </w:pPr>
      <w:r w:rsidRPr="004814E6">
        <w:rPr>
          <w:rFonts w:eastAsia="Times New Roman" w:cs="Arial"/>
          <w:szCs w:val="24"/>
        </w:rPr>
        <w:t>Recommended implementing login and logout functions to enhance patient data confidentiality. (Figure 3)</w:t>
      </w:r>
    </w:p>
    <w:p w14:paraId="4689F838" w14:textId="77777777" w:rsidR="004814E6" w:rsidRPr="004814E6" w:rsidRDefault="004814E6" w:rsidP="004814E6">
      <w:pPr>
        <w:numPr>
          <w:ilvl w:val="0"/>
          <w:numId w:val="3"/>
        </w:numPr>
        <w:spacing w:before="100" w:beforeAutospacing="1" w:after="100" w:afterAutospacing="1"/>
        <w:rPr>
          <w:rFonts w:eastAsia="Times New Roman" w:cs="Arial"/>
          <w:szCs w:val="24"/>
        </w:rPr>
      </w:pPr>
      <w:r w:rsidRPr="004814E6">
        <w:rPr>
          <w:rFonts w:eastAsia="Times New Roman" w:cs="Arial"/>
          <w:szCs w:val="24"/>
        </w:rPr>
        <w:t xml:space="preserve">Noted that the chatbot performs well and provides effective responses. </w:t>
      </w:r>
    </w:p>
    <w:p w14:paraId="36045882"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noProof/>
          <w:szCs w:val="24"/>
        </w:rPr>
        <w:lastRenderedPageBreak/>
        <mc:AlternateContent>
          <mc:Choice Requires="wps">
            <w:drawing>
              <wp:anchor distT="0" distB="0" distL="114300" distR="114300" simplePos="0" relativeHeight="251660288" behindDoc="0" locked="0" layoutInCell="1" allowOverlap="1" wp14:anchorId="26F21E21" wp14:editId="317A94C2">
                <wp:simplePos x="0" y="0"/>
                <wp:positionH relativeFrom="column">
                  <wp:posOffset>577516</wp:posOffset>
                </wp:positionH>
                <wp:positionV relativeFrom="paragraph">
                  <wp:posOffset>1143364</wp:posOffset>
                </wp:positionV>
                <wp:extent cx="2420066" cy="254382"/>
                <wp:effectExtent l="0" t="0" r="18415" b="12700"/>
                <wp:wrapNone/>
                <wp:docPr id="1176140383" name="Rectangle 1"/>
                <wp:cNvGraphicFramePr/>
                <a:graphic xmlns:a="http://schemas.openxmlformats.org/drawingml/2006/main">
                  <a:graphicData uri="http://schemas.microsoft.com/office/word/2010/wordprocessingShape">
                    <wps:wsp>
                      <wps:cNvSpPr/>
                      <wps:spPr>
                        <a:xfrm>
                          <a:off x="0" y="0"/>
                          <a:ext cx="2420066" cy="25438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7CBCC" id="Rectangle 1" o:spid="_x0000_s1026" style="position:absolute;margin-left:45.45pt;margin-top:90.05pt;width:190.5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" filled="f" strokecolor="#e00" strokeweight="1.5pt"/>
            </w:pict>
          </mc:Fallback>
        </mc:AlternateContent>
      </w:r>
      <w:r w:rsidRPr="004814E6">
        <w:rPr>
          <w:rFonts w:eastAsia="Times New Roman" w:cs="Arial"/>
          <w:noProof/>
          <w:szCs w:val="24"/>
          <w:cs/>
        </w:rPr>
        <w:drawing>
          <wp:inline distT="0" distB="0" distL="0" distR="0" wp14:anchorId="46A995DE" wp14:editId="72E732BF">
            <wp:extent cx="5720156" cy="3596498"/>
            <wp:effectExtent l="0" t="0" r="0" b="0"/>
            <wp:docPr id="212761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12012" name=""/>
                    <pic:cNvPicPr/>
                  </pic:nvPicPr>
                  <pic:blipFill rotWithShape="1">
                    <a:blip r:embed="rId7"/>
                    <a:srcRect l="1736" t="6937" r="2007"/>
                    <a:stretch>
                      <a:fillRect/>
                    </a:stretch>
                  </pic:blipFill>
                  <pic:spPr bwMode="auto">
                    <a:xfrm>
                      <a:off x="0" y="0"/>
                      <a:ext cx="5721134" cy="3597113"/>
                    </a:xfrm>
                    <a:prstGeom prst="rect">
                      <a:avLst/>
                    </a:prstGeom>
                    <a:ln>
                      <a:noFill/>
                    </a:ln>
                    <a:extLst>
                      <a:ext uri="{53640926-AAD7-44D8-BBD7-CCE9431645EC}">
                        <a14:shadowObscured xmlns:a14="http://schemas.microsoft.com/office/drawing/2010/main"/>
                      </a:ext>
                    </a:extLst>
                  </pic:spPr>
                </pic:pic>
              </a:graphicData>
            </a:graphic>
          </wp:inline>
        </w:drawing>
      </w:r>
    </w:p>
    <w:p w14:paraId="5FC44DBD" w14:textId="77777777" w:rsidR="004814E6" w:rsidRPr="004814E6" w:rsidRDefault="004814E6" w:rsidP="004814E6">
      <w:pPr>
        <w:spacing w:before="100" w:beforeAutospacing="1" w:after="100" w:afterAutospacing="1"/>
        <w:rPr>
          <w:rFonts w:eastAsia="Times New Roman" w:cs="Arial"/>
          <w:cs/>
          <w:lang w:val="en-US"/>
        </w:rPr>
      </w:pPr>
      <w:r w:rsidRPr="004814E6">
        <w:rPr>
          <w:rFonts w:eastAsia="Times New Roman" w:cs="Arial"/>
          <w:lang w:val="en-US"/>
        </w:rPr>
        <w:t>Figure 2 Previous version</w:t>
      </w:r>
    </w:p>
    <w:p w14:paraId="08E735B0"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noProof/>
          <w:szCs w:val="24"/>
        </w:rPr>
        <mc:AlternateContent>
          <mc:Choice Requires="wps">
            <w:drawing>
              <wp:anchor distT="0" distB="0" distL="114300" distR="114300" simplePos="0" relativeHeight="251659264" behindDoc="0" locked="0" layoutInCell="1" allowOverlap="1" wp14:anchorId="2A92C612" wp14:editId="5BC55D9B">
                <wp:simplePos x="0" y="0"/>
                <wp:positionH relativeFrom="column">
                  <wp:posOffset>4496373</wp:posOffset>
                </wp:positionH>
                <wp:positionV relativeFrom="paragraph">
                  <wp:posOffset>1342743</wp:posOffset>
                </wp:positionV>
                <wp:extent cx="838773" cy="1161907"/>
                <wp:effectExtent l="0" t="0" r="12700" b="6985"/>
                <wp:wrapNone/>
                <wp:docPr id="851724918" name="Rectangle 1"/>
                <wp:cNvGraphicFramePr/>
                <a:graphic xmlns:a="http://schemas.openxmlformats.org/drawingml/2006/main">
                  <a:graphicData uri="http://schemas.microsoft.com/office/word/2010/wordprocessingShape">
                    <wps:wsp>
                      <wps:cNvSpPr/>
                      <wps:spPr>
                        <a:xfrm>
                          <a:off x="0" y="0"/>
                          <a:ext cx="838773" cy="116190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74529" id="Rectangle 1" o:spid="_x0000_s1026" style="position:absolute;margin-left:354.05pt;margin-top:105.75pt;width:66.05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" filled="f" strokecolor="#e00" strokeweight="1.5pt"/>
            </w:pict>
          </mc:Fallback>
        </mc:AlternateContent>
      </w:r>
      <w:r w:rsidRPr="004814E6">
        <w:rPr>
          <w:rFonts w:eastAsia="Times New Roman" w:cs="Arial"/>
          <w:noProof/>
          <w:szCs w:val="24"/>
        </w:rPr>
        <w:drawing>
          <wp:inline distT="0" distB="0" distL="0" distR="0" wp14:anchorId="3DA4DE92" wp14:editId="78FB6A04">
            <wp:extent cx="5943600" cy="3590238"/>
            <wp:effectExtent l="0" t="0" r="0" b="4445"/>
            <wp:docPr id="91414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45812" name=""/>
                    <pic:cNvPicPr/>
                  </pic:nvPicPr>
                  <pic:blipFill rotWithShape="1">
                    <a:blip r:embed="rId8"/>
                    <a:srcRect t="7115"/>
                    <a:stretch>
                      <a:fillRect/>
                    </a:stretch>
                  </pic:blipFill>
                  <pic:spPr bwMode="auto">
                    <a:xfrm>
                      <a:off x="0" y="0"/>
                      <a:ext cx="5943600" cy="3590238"/>
                    </a:xfrm>
                    <a:prstGeom prst="rect">
                      <a:avLst/>
                    </a:prstGeom>
                    <a:ln>
                      <a:noFill/>
                    </a:ln>
                    <a:extLst>
                      <a:ext uri="{53640926-AAD7-44D8-BBD7-CCE9431645EC}">
                        <a14:shadowObscured xmlns:a14="http://schemas.microsoft.com/office/drawing/2010/main"/>
                      </a:ext>
                    </a:extLst>
                  </pic:spPr>
                </pic:pic>
              </a:graphicData>
            </a:graphic>
          </wp:inline>
        </w:drawing>
      </w:r>
    </w:p>
    <w:p w14:paraId="2903553D" w14:textId="77777777" w:rsidR="004814E6" w:rsidRPr="004814E6" w:rsidRDefault="004814E6" w:rsidP="004814E6">
      <w:pPr>
        <w:spacing w:before="100" w:beforeAutospacing="1" w:after="100" w:afterAutospacing="1"/>
        <w:rPr>
          <w:rFonts w:eastAsia="Times New Roman" w:cs="Arial"/>
          <w:cs/>
        </w:rPr>
      </w:pPr>
      <w:r w:rsidRPr="004814E6">
        <w:rPr>
          <w:rFonts w:eastAsia="Times New Roman" w:cs="Arial"/>
          <w:lang w:val="en-US"/>
        </w:rPr>
        <w:t xml:space="preserve">Figure 3 </w:t>
      </w:r>
      <w:r w:rsidRPr="004814E6">
        <w:rPr>
          <w:rFonts w:eastAsia="Times New Roman" w:cs="Arial"/>
          <w:szCs w:val="24"/>
        </w:rPr>
        <w:t>Current version</w:t>
      </w:r>
    </w:p>
    <w:p w14:paraId="77485D38" w14:textId="59C86D3D" w:rsidR="004814E6" w:rsidRPr="004814E6" w:rsidRDefault="004814E6" w:rsidP="004814E6">
      <w:pPr>
        <w:rPr>
          <w:rFonts w:eastAsia="Times New Roman" w:cs="Arial"/>
          <w:b/>
          <w:bCs/>
          <w:szCs w:val="24"/>
        </w:rPr>
      </w:pPr>
      <w:r w:rsidRPr="004814E6">
        <w:rPr>
          <w:rFonts w:cs="Arial"/>
          <w:b/>
          <w:bCs/>
          <w:color w:val="880E4F"/>
          <w:sz w:val="26"/>
          <w:szCs w:val="26"/>
        </w:rPr>
        <w:lastRenderedPageBreak/>
        <w:t xml:space="preserve">Reviewer </w:t>
      </w:r>
      <w:r>
        <w:rPr>
          <w:rFonts w:cs="Arial"/>
          <w:b/>
          <w:bCs/>
          <w:color w:val="880E4F"/>
          <w:sz w:val="26"/>
          <w:szCs w:val="26"/>
        </w:rPr>
        <w:t>2</w:t>
      </w:r>
      <w:r w:rsidRPr="004814E6">
        <w:rPr>
          <w:rFonts w:cs="Arial"/>
          <w:b/>
          <w:bCs/>
          <w:color w:val="880E4F"/>
          <w:sz w:val="26"/>
          <w:szCs w:val="26"/>
        </w:rPr>
        <w:t>:</w:t>
      </w:r>
    </w:p>
    <w:p w14:paraId="48E0A2E6"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Recommended including family history of breast, ovarian, and pancreatic cancer to enable personalized recommendations, particularly regarding genetic testing. (Figure 4 and 5)</w:t>
      </w:r>
    </w:p>
    <w:p w14:paraId="6CD623E6"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noProof/>
          <w:szCs w:val="24"/>
        </w:rPr>
        <mc:AlternateContent>
          <mc:Choice Requires="wps">
            <w:drawing>
              <wp:anchor distT="0" distB="0" distL="114300" distR="114300" simplePos="0" relativeHeight="251661312" behindDoc="0" locked="0" layoutInCell="1" allowOverlap="1" wp14:anchorId="601F19A1" wp14:editId="24273132">
                <wp:simplePos x="0" y="0"/>
                <wp:positionH relativeFrom="column">
                  <wp:posOffset>687519</wp:posOffset>
                </wp:positionH>
                <wp:positionV relativeFrom="paragraph">
                  <wp:posOffset>1423165</wp:posOffset>
                </wp:positionV>
                <wp:extent cx="2715699" cy="1045028"/>
                <wp:effectExtent l="0" t="0" r="15240" b="9525"/>
                <wp:wrapNone/>
                <wp:docPr id="1600145588" name="Rectangle 1"/>
                <wp:cNvGraphicFramePr/>
                <a:graphic xmlns:a="http://schemas.openxmlformats.org/drawingml/2006/main">
                  <a:graphicData uri="http://schemas.microsoft.com/office/word/2010/wordprocessingShape">
                    <wps:wsp>
                      <wps:cNvSpPr/>
                      <wps:spPr>
                        <a:xfrm>
                          <a:off x="0" y="0"/>
                          <a:ext cx="2715699" cy="1045028"/>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F9CE" id="Rectangle 1" o:spid="_x0000_s1026" style="position:absolute;margin-left:54.15pt;margin-top:112.05pt;width:213.85pt;height: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" filled="f" strokecolor="#e00" strokeweight="1.5pt"/>
            </w:pict>
          </mc:Fallback>
        </mc:AlternateContent>
      </w:r>
      <w:r w:rsidRPr="004814E6">
        <w:rPr>
          <w:rFonts w:eastAsia="Times New Roman" w:cs="Arial"/>
          <w:noProof/>
          <w:szCs w:val="24"/>
        </w:rPr>
        <w:drawing>
          <wp:inline distT="0" distB="0" distL="0" distR="0" wp14:anchorId="0E9720BC" wp14:editId="56CF9068">
            <wp:extent cx="5740782" cy="3583132"/>
            <wp:effectExtent l="0" t="0" r="0" b="0"/>
            <wp:docPr id="129309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99722" name=""/>
                    <pic:cNvPicPr/>
                  </pic:nvPicPr>
                  <pic:blipFill rotWithShape="1">
                    <a:blip r:embed="rId9"/>
                    <a:srcRect l="1735" t="7292" r="1672"/>
                    <a:stretch>
                      <a:fillRect/>
                    </a:stretch>
                  </pic:blipFill>
                  <pic:spPr bwMode="auto">
                    <a:xfrm>
                      <a:off x="0" y="0"/>
                      <a:ext cx="5741151" cy="3583362"/>
                    </a:xfrm>
                    <a:prstGeom prst="rect">
                      <a:avLst/>
                    </a:prstGeom>
                    <a:ln>
                      <a:noFill/>
                    </a:ln>
                    <a:extLst>
                      <a:ext uri="{53640926-AAD7-44D8-BBD7-CCE9431645EC}">
                        <a14:shadowObscured xmlns:a14="http://schemas.microsoft.com/office/drawing/2010/main"/>
                      </a:ext>
                    </a:extLst>
                  </pic:spPr>
                </pic:pic>
              </a:graphicData>
            </a:graphic>
          </wp:inline>
        </w:drawing>
      </w:r>
    </w:p>
    <w:p w14:paraId="6E2C204B"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Figure 4 The registration including family history of breast, ovarian, and pancreatic cancer</w:t>
      </w:r>
    </w:p>
    <w:p w14:paraId="2DDFD31C"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noProof/>
          <w:szCs w:val="24"/>
        </w:rPr>
        <w:lastRenderedPageBreak/>
        <w:drawing>
          <wp:inline distT="0" distB="0" distL="0" distR="0" wp14:anchorId="73E3C3E3" wp14:editId="03DEE111">
            <wp:extent cx="5943600" cy="3583362"/>
            <wp:effectExtent l="0" t="0" r="0" b="0"/>
            <wp:docPr id="166981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14253" name=""/>
                    <pic:cNvPicPr/>
                  </pic:nvPicPr>
                  <pic:blipFill rotWithShape="1">
                    <a:blip r:embed="rId10"/>
                    <a:srcRect t="7292"/>
                    <a:stretch>
                      <a:fillRect/>
                    </a:stretch>
                  </pic:blipFill>
                  <pic:spPr bwMode="auto">
                    <a:xfrm>
                      <a:off x="0" y="0"/>
                      <a:ext cx="5943600" cy="3583362"/>
                    </a:xfrm>
                    <a:prstGeom prst="rect">
                      <a:avLst/>
                    </a:prstGeom>
                    <a:ln>
                      <a:noFill/>
                    </a:ln>
                    <a:extLst>
                      <a:ext uri="{53640926-AAD7-44D8-BBD7-CCE9431645EC}">
                        <a14:shadowObscured xmlns:a14="http://schemas.microsoft.com/office/drawing/2010/main"/>
                      </a:ext>
                    </a:extLst>
                  </pic:spPr>
                </pic:pic>
              </a:graphicData>
            </a:graphic>
          </wp:inline>
        </w:drawing>
      </w:r>
    </w:p>
    <w:p w14:paraId="7EB2A85E" w14:textId="77777777" w:rsidR="004814E6" w:rsidRPr="004814E6" w:rsidRDefault="004814E6" w:rsidP="004814E6">
      <w:pPr>
        <w:spacing w:before="100" w:beforeAutospacing="1" w:after="100" w:afterAutospacing="1"/>
        <w:rPr>
          <w:rFonts w:eastAsia="Times New Roman" w:cs="Arial"/>
          <w:szCs w:val="24"/>
        </w:rPr>
      </w:pPr>
      <w:r w:rsidRPr="004814E6">
        <w:rPr>
          <w:rFonts w:eastAsia="Times New Roman" w:cs="Arial"/>
          <w:szCs w:val="24"/>
        </w:rPr>
        <w:t>Figure 5 Customized content regarding BRCA mutation and multigene assays</w:t>
      </w:r>
    </w:p>
    <w:p w14:paraId="2963E1C3" w14:textId="77777777" w:rsidR="004814E6" w:rsidRPr="004814E6" w:rsidRDefault="004814E6">
      <w:pPr>
        <w:spacing w:before="120"/>
        <w:rPr>
          <w:rFonts w:hint="cs"/>
        </w:rPr>
      </w:pPr>
    </w:p>
    <w:p w14:paraId="6C08807B" w14:textId="77777777" w:rsidR="00164CA3" w:rsidRDefault="00000000">
      <w:pPr>
        <w:pStyle w:val="Heading1"/>
        <w:pBdr>
          <w:bottom w:val="single" w:sz="8" w:space="4" w:color="C2185B"/>
        </w:pBdr>
      </w:pPr>
      <w:r>
        <w:t>8. Conclusion</w:t>
      </w:r>
    </w:p>
    <w:p w14:paraId="1D35E72C" w14:textId="77777777" w:rsidR="00164CA3" w:rsidRDefault="00000000">
      <w:pPr>
        <w:spacing w:before="60" w:after="80"/>
      </w:pPr>
      <w:r>
        <w:rPr>
          <w:rFonts w:cs="Arial"/>
          <w:color w:val="212121"/>
        </w:rPr>
        <w:t>This revised strategy analysis strengthens OonJai Breast Partners across all five dimensions highlighted in faculty feedback. The phased business model provides a clear, IRB-anchored research roadmap before scaling commercially. The diversified revenue structure reduces dependency on single-source sponsorship. The content partnership model defines specific collaboration structures with institutional safeguards. The user journey analysis quantifies where and how the platform intervenes to improve patient outcomes. And the competitive matrix demonstrates a defensible, differentiated position in the global digital oncology landscape.</w:t>
      </w:r>
    </w:p>
    <w:p w14:paraId="37F23975" w14:textId="77777777" w:rsidR="00164CA3" w:rsidRDefault="00000000">
      <w:pPr>
        <w:spacing w:before="60" w:after="80"/>
      </w:pPr>
      <w:r>
        <w:rPr>
          <w:rFonts w:cs="Arial"/>
          <w:color w:val="212121"/>
        </w:rPr>
        <w:t>If effectively implemented, OonJai Breast Partners can become Thailand’s leading breast cancer digital health platform—generating both meaningful patient impact and sustainable clinical research infrastructure.</w:t>
      </w:r>
    </w:p>
    <w:p w14:paraId="6293195D" w14:textId="77777777" w:rsidR="00164CA3" w:rsidRDefault="00164CA3">
      <w:pPr>
        <w:spacing w:before="200"/>
      </w:pPr>
    </w:p>
    <w:p w14:paraId="4040F926" w14:textId="77777777" w:rsidR="00164CA3" w:rsidRDefault="00000000">
      <w:pPr>
        <w:jc w:val="center"/>
      </w:pPr>
      <w:r>
        <w:rPr>
          <w:rFonts w:cs="Arial"/>
          <w:color w:val="757575"/>
          <w:sz w:val="18"/>
          <w:szCs w:val="18"/>
        </w:rPr>
        <w:t>OonJai Breast Partners  |  Chayanee Sae-lim, MD  |  Chulalongkorn University  |  2026</w:t>
      </w:r>
    </w:p>
    <w:sectPr w:rsidR="00164CA3">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rowallia New">
    <w:panose1 w:val="020B06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F66C0"/>
    <w:multiLevelType w:val="multilevel"/>
    <w:tmpl w:val="4856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0E6369"/>
    <w:multiLevelType w:val="hybridMultilevel"/>
    <w:tmpl w:val="D898B92A"/>
    <w:lvl w:ilvl="0" w:tplc="FE98D882">
      <w:start w:val="1"/>
      <w:numFmt w:val="bullet"/>
      <w:lvlText w:val="•"/>
      <w:lvlJc w:val="left"/>
      <w:pPr>
        <w:ind w:left="720" w:hanging="360"/>
      </w:pPr>
    </w:lvl>
    <w:lvl w:ilvl="1" w:tplc="AC0E002A">
      <w:start w:val="1"/>
      <w:numFmt w:val="bullet"/>
      <w:lvlText w:val="◦"/>
      <w:lvlJc w:val="left"/>
      <w:pPr>
        <w:ind w:left="1080" w:hanging="360"/>
      </w:pPr>
    </w:lvl>
    <w:lvl w:ilvl="2" w:tplc="88661F2C">
      <w:numFmt w:val="decimal"/>
      <w:lvlText w:val=""/>
      <w:lvlJc w:val="left"/>
    </w:lvl>
    <w:lvl w:ilvl="3" w:tplc="65ECAE06">
      <w:numFmt w:val="decimal"/>
      <w:lvlText w:val=""/>
      <w:lvlJc w:val="left"/>
    </w:lvl>
    <w:lvl w:ilvl="4" w:tplc="C84C9A78">
      <w:numFmt w:val="decimal"/>
      <w:lvlText w:val=""/>
      <w:lvlJc w:val="left"/>
    </w:lvl>
    <w:lvl w:ilvl="5" w:tplc="8BB6472E">
      <w:numFmt w:val="decimal"/>
      <w:lvlText w:val=""/>
      <w:lvlJc w:val="left"/>
    </w:lvl>
    <w:lvl w:ilvl="6" w:tplc="02C47E06">
      <w:numFmt w:val="decimal"/>
      <w:lvlText w:val=""/>
      <w:lvlJc w:val="left"/>
    </w:lvl>
    <w:lvl w:ilvl="7" w:tplc="3A5E7F2E">
      <w:numFmt w:val="decimal"/>
      <w:lvlText w:val=""/>
      <w:lvlJc w:val="left"/>
    </w:lvl>
    <w:lvl w:ilvl="8" w:tplc="99749544">
      <w:numFmt w:val="decimal"/>
      <w:lvlText w:val=""/>
      <w:lvlJc w:val="left"/>
    </w:lvl>
  </w:abstractNum>
  <w:abstractNum w:abstractNumId="2" w15:restartNumberingAfterBreak="0">
    <w:nsid w:val="627E526B"/>
    <w:multiLevelType w:val="hybridMultilevel"/>
    <w:tmpl w:val="519EA158"/>
    <w:lvl w:ilvl="0" w:tplc="4F9A58DC">
      <w:start w:val="1"/>
      <w:numFmt w:val="bullet"/>
      <w:lvlText w:val="●"/>
      <w:lvlJc w:val="left"/>
      <w:pPr>
        <w:ind w:left="720" w:hanging="360"/>
      </w:pPr>
    </w:lvl>
    <w:lvl w:ilvl="1" w:tplc="6122C5D8">
      <w:start w:val="1"/>
      <w:numFmt w:val="bullet"/>
      <w:lvlText w:val="○"/>
      <w:lvlJc w:val="left"/>
      <w:pPr>
        <w:ind w:left="1440" w:hanging="360"/>
      </w:pPr>
    </w:lvl>
    <w:lvl w:ilvl="2" w:tplc="6C0C900A">
      <w:start w:val="1"/>
      <w:numFmt w:val="bullet"/>
      <w:lvlText w:val="■"/>
      <w:lvlJc w:val="left"/>
      <w:pPr>
        <w:ind w:left="2160" w:hanging="360"/>
      </w:pPr>
    </w:lvl>
    <w:lvl w:ilvl="3" w:tplc="44F03F1A">
      <w:start w:val="1"/>
      <w:numFmt w:val="bullet"/>
      <w:lvlText w:val="●"/>
      <w:lvlJc w:val="left"/>
      <w:pPr>
        <w:ind w:left="2880" w:hanging="360"/>
      </w:pPr>
    </w:lvl>
    <w:lvl w:ilvl="4" w:tplc="5AA24EC2">
      <w:start w:val="1"/>
      <w:numFmt w:val="bullet"/>
      <w:lvlText w:val="○"/>
      <w:lvlJc w:val="left"/>
      <w:pPr>
        <w:ind w:left="3600" w:hanging="360"/>
      </w:pPr>
    </w:lvl>
    <w:lvl w:ilvl="5" w:tplc="B8B44A7A">
      <w:start w:val="1"/>
      <w:numFmt w:val="bullet"/>
      <w:lvlText w:val="■"/>
      <w:lvlJc w:val="left"/>
      <w:pPr>
        <w:ind w:left="4320" w:hanging="360"/>
      </w:pPr>
    </w:lvl>
    <w:lvl w:ilvl="6" w:tplc="A3BE5C3A">
      <w:start w:val="1"/>
      <w:numFmt w:val="bullet"/>
      <w:lvlText w:val="●"/>
      <w:lvlJc w:val="left"/>
      <w:pPr>
        <w:ind w:left="5040" w:hanging="360"/>
      </w:pPr>
    </w:lvl>
    <w:lvl w:ilvl="7" w:tplc="B73C17AA">
      <w:start w:val="1"/>
      <w:numFmt w:val="bullet"/>
      <w:lvlText w:val="●"/>
      <w:lvlJc w:val="left"/>
      <w:pPr>
        <w:ind w:left="5760" w:hanging="360"/>
      </w:pPr>
    </w:lvl>
    <w:lvl w:ilvl="8" w:tplc="412ED7EC">
      <w:start w:val="1"/>
      <w:numFmt w:val="bullet"/>
      <w:lvlText w:val="●"/>
      <w:lvlJc w:val="left"/>
      <w:pPr>
        <w:ind w:left="6480" w:hanging="360"/>
      </w:pPr>
    </w:lvl>
  </w:abstractNum>
  <w:num w:numId="1" w16cid:durableId="1198932690">
    <w:abstractNumId w:val="2"/>
    <w:lvlOverride w:ilvl="0">
      <w:startOverride w:val="1"/>
    </w:lvlOverride>
  </w:num>
  <w:num w:numId="2" w16cid:durableId="1187672717">
    <w:abstractNumId w:val="1"/>
    <w:lvlOverride w:ilvl="0">
      <w:startOverride w:val="1"/>
    </w:lvlOverride>
  </w:num>
  <w:num w:numId="3" w16cid:durableId="1000040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A3"/>
    <w:rsid w:val="00164CA3"/>
    <w:rsid w:val="004814E6"/>
    <w:rsid w:val="007B534F"/>
    <w:rsid w:val="0099646D"/>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7D463FF2"/>
  <w15:docId w15:val="{3421E013-73ED-EA46-86BF-2D3BE44D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TH"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paragraph" w:styleId="Heading1">
    <w:name w:val="heading 1"/>
    <w:uiPriority w:val="9"/>
    <w:qFormat/>
    <w:pPr>
      <w:spacing w:before="360" w:after="120"/>
      <w:outlineLvl w:val="0"/>
    </w:pPr>
    <w:rPr>
      <w:b/>
      <w:bCs/>
      <w:color w:val="C2185B"/>
      <w:sz w:val="32"/>
      <w:szCs w:val="32"/>
    </w:rPr>
  </w:style>
  <w:style w:type="paragraph" w:styleId="Heading2">
    <w:name w:val="heading 2"/>
    <w:uiPriority w:val="9"/>
    <w:unhideWhenUsed/>
    <w:qFormat/>
    <w:pPr>
      <w:spacing w:before="280" w:after="80"/>
      <w:outlineLvl w:val="1"/>
    </w:pPr>
    <w:rPr>
      <w:b/>
      <w:bCs/>
      <w:color w:val="880E4F"/>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2507</Words>
  <Characters>14292</Characters>
  <Application>Microsoft Office Word</Application>
  <DocSecurity>0</DocSecurity>
  <Lines>119</Lines>
  <Paragraphs>33</Paragraphs>
  <ScaleCrop>false</ScaleCrop>
  <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Chayanee Saelim</cp:lastModifiedBy>
  <cp:revision>2</cp:revision>
  <dcterms:created xsi:type="dcterms:W3CDTF">2026-05-04T05:58:00Z</dcterms:created>
  <dcterms:modified xsi:type="dcterms:W3CDTF">2026-05-04T05:58:00Z</dcterms:modified>
</cp:coreProperties>
</file>